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07" w:rsidRDefault="00E96507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F6" w:rsidRPr="009E73DE" w:rsidRDefault="00F32CDA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DE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5F613B" w:rsidRPr="009E73DE">
        <w:rPr>
          <w:rFonts w:ascii="Times New Roman" w:hAnsi="Times New Roman" w:cs="Times New Roman"/>
          <w:b/>
          <w:sz w:val="28"/>
          <w:szCs w:val="28"/>
        </w:rPr>
        <w:t xml:space="preserve"> результатах финансово-хозяйственной деятельности</w:t>
      </w:r>
    </w:p>
    <w:p w:rsidR="00EA6582" w:rsidRPr="00CA5B23" w:rsidRDefault="005F613B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DE">
        <w:rPr>
          <w:rFonts w:ascii="Times New Roman" w:hAnsi="Times New Roman" w:cs="Times New Roman"/>
          <w:b/>
          <w:sz w:val="28"/>
          <w:szCs w:val="28"/>
        </w:rPr>
        <w:t>АО «</w:t>
      </w:r>
      <w:r w:rsidR="00FD7980">
        <w:rPr>
          <w:rFonts w:ascii="Times New Roman" w:hAnsi="Times New Roman" w:cs="Times New Roman"/>
          <w:b/>
          <w:sz w:val="28"/>
          <w:szCs w:val="28"/>
        </w:rPr>
        <w:t>НГК «</w:t>
      </w:r>
      <w:r w:rsidRPr="009E73DE">
        <w:rPr>
          <w:rFonts w:ascii="Times New Roman" w:hAnsi="Times New Roman" w:cs="Times New Roman"/>
          <w:b/>
          <w:sz w:val="28"/>
          <w:szCs w:val="28"/>
        </w:rPr>
        <w:t>Т</w:t>
      </w:r>
      <w:r w:rsidR="001D664F" w:rsidRPr="009E73DE">
        <w:rPr>
          <w:rFonts w:ascii="Times New Roman" w:hAnsi="Times New Roman" w:cs="Times New Roman"/>
          <w:b/>
          <w:sz w:val="28"/>
          <w:szCs w:val="28"/>
        </w:rPr>
        <w:t>ау-Кен Самрук» за</w:t>
      </w:r>
      <w:r w:rsidR="00FC2784" w:rsidRPr="00FC2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88D" w:rsidRPr="0027188D">
        <w:rPr>
          <w:rFonts w:ascii="Times New Roman" w:hAnsi="Times New Roman" w:cs="Times New Roman"/>
          <w:b/>
          <w:sz w:val="28"/>
          <w:szCs w:val="28"/>
        </w:rPr>
        <w:t>12</w:t>
      </w:r>
      <w:r w:rsidR="00FC2784" w:rsidRPr="00FC2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119">
        <w:rPr>
          <w:rFonts w:ascii="Times New Roman" w:hAnsi="Times New Roman" w:cs="Times New Roman"/>
          <w:b/>
          <w:sz w:val="28"/>
          <w:szCs w:val="28"/>
        </w:rPr>
        <w:t>месяцев</w:t>
      </w:r>
      <w:r w:rsidR="001D664F" w:rsidRPr="009E73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C2784">
        <w:rPr>
          <w:rFonts w:ascii="Times New Roman" w:hAnsi="Times New Roman" w:cs="Times New Roman"/>
          <w:b/>
          <w:sz w:val="28"/>
          <w:szCs w:val="28"/>
        </w:rPr>
        <w:t>8</w:t>
      </w:r>
      <w:r w:rsidR="007D30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C2784">
        <w:rPr>
          <w:rFonts w:ascii="Times New Roman" w:hAnsi="Times New Roman" w:cs="Times New Roman"/>
          <w:b/>
          <w:sz w:val="28"/>
          <w:szCs w:val="28"/>
        </w:rPr>
        <w:t>а</w:t>
      </w:r>
    </w:p>
    <w:p w:rsidR="000C6CCE" w:rsidRDefault="000C6CCE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507" w:rsidRPr="009E73DE" w:rsidRDefault="00E96507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28" w:rsidRPr="009E73DE" w:rsidRDefault="00A53538" w:rsidP="000E69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3DE">
        <w:rPr>
          <w:rFonts w:ascii="Times New Roman" w:hAnsi="Times New Roman" w:cs="Times New Roman"/>
          <w:b/>
          <w:sz w:val="28"/>
          <w:szCs w:val="28"/>
        </w:rPr>
        <w:t>Ключевые показатели деятельности</w:t>
      </w:r>
    </w:p>
    <w:p w:rsidR="00A53538" w:rsidRPr="00BD7719" w:rsidRDefault="00A53538" w:rsidP="00A53538">
      <w:pPr>
        <w:pStyle w:val="a5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A53538" w:rsidRPr="009E73DE" w:rsidRDefault="00A53538" w:rsidP="00A5353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3DE">
        <w:rPr>
          <w:rFonts w:ascii="Times New Roman" w:hAnsi="Times New Roman" w:cs="Times New Roman"/>
          <w:b/>
          <w:sz w:val="28"/>
          <w:szCs w:val="28"/>
        </w:rPr>
        <w:t>Производственные показатели</w:t>
      </w:r>
    </w:p>
    <w:p w:rsidR="00A30746" w:rsidRPr="00BD7719" w:rsidRDefault="00A30746" w:rsidP="000C6C28">
      <w:pPr>
        <w:pStyle w:val="a5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-50"/>
        <w:tblW w:w="4875" w:type="pct"/>
        <w:tblLook w:val="04A0" w:firstRow="1" w:lastRow="0" w:firstColumn="1" w:lastColumn="0" w:noHBand="0" w:noVBand="1"/>
      </w:tblPr>
      <w:tblGrid>
        <w:gridCol w:w="3932"/>
        <w:gridCol w:w="1203"/>
        <w:gridCol w:w="1168"/>
        <w:gridCol w:w="1172"/>
        <w:gridCol w:w="1201"/>
        <w:gridCol w:w="1070"/>
      </w:tblGrid>
      <w:tr w:rsidR="00F210B1" w:rsidRPr="00A30746" w:rsidTr="00C11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Merge w:val="restart"/>
            <w:vAlign w:val="center"/>
            <w:hideMark/>
          </w:tcPr>
          <w:p w:rsidR="00B57EB2" w:rsidRPr="005A1DF6" w:rsidRDefault="00B57EB2" w:rsidP="005A1DF6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1D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617" w:type="pct"/>
            <w:vMerge w:val="restart"/>
            <w:vAlign w:val="center"/>
            <w:hideMark/>
          </w:tcPr>
          <w:p w:rsidR="005A1DF6" w:rsidRPr="005A1DF6" w:rsidRDefault="005A1DF6" w:rsidP="005A1D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7EB2" w:rsidRPr="005A1DF6" w:rsidRDefault="00B57EB2" w:rsidP="005A1D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1D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Ед.</w:t>
            </w:r>
            <w:r w:rsidR="00A6767A" w:rsidRPr="005A1D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A1D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изм.</w:t>
            </w:r>
          </w:p>
        </w:tc>
        <w:tc>
          <w:tcPr>
            <w:tcW w:w="599" w:type="pct"/>
            <w:vAlign w:val="center"/>
            <w:hideMark/>
          </w:tcPr>
          <w:p w:rsidR="00737CF7" w:rsidRDefault="0027188D" w:rsidP="005A1D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12</w:t>
            </w:r>
            <w:r w:rsidR="00737C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мес.</w:t>
            </w:r>
          </w:p>
          <w:p w:rsidR="00B57EB2" w:rsidRPr="005A1DF6" w:rsidRDefault="00790A85" w:rsidP="005A1D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 w:rsidR="002905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7D305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B57EB2" w:rsidRPr="005A1D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</w:t>
            </w:r>
          </w:p>
        </w:tc>
        <w:tc>
          <w:tcPr>
            <w:tcW w:w="1217" w:type="pct"/>
            <w:gridSpan w:val="2"/>
            <w:vAlign w:val="center"/>
            <w:hideMark/>
          </w:tcPr>
          <w:p w:rsidR="00C11AF5" w:rsidRDefault="0027188D" w:rsidP="00737C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12</w:t>
            </w:r>
            <w:r w:rsidR="00737CF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737C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</w:t>
            </w:r>
            <w:r w:rsidR="002905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57EB2" w:rsidRPr="005A1DF6" w:rsidRDefault="00B57EB2" w:rsidP="00737C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1D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 w:rsidR="00290577" w:rsidRPr="002905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1813F0" w:rsidRPr="002905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A1D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</w:t>
            </w:r>
          </w:p>
        </w:tc>
        <w:tc>
          <w:tcPr>
            <w:tcW w:w="550" w:type="pct"/>
            <w:vAlign w:val="center"/>
            <w:hideMark/>
          </w:tcPr>
          <w:p w:rsidR="00B57EB2" w:rsidRPr="005A1DF6" w:rsidRDefault="00B57EB2" w:rsidP="0027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1D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 w:rsidR="0027188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</w:t>
            </w:r>
            <w:r w:rsidR="001813F0" w:rsidRPr="002905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A1D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</w:t>
            </w:r>
          </w:p>
        </w:tc>
      </w:tr>
      <w:tr w:rsidR="00A53538" w:rsidRPr="00A30746" w:rsidTr="00C11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Merge/>
            <w:shd w:val="clear" w:color="auto" w:fill="4BACC6" w:themeFill="accent5"/>
            <w:vAlign w:val="center"/>
            <w:hideMark/>
          </w:tcPr>
          <w:p w:rsidR="00B57EB2" w:rsidRPr="00A30746" w:rsidRDefault="00B57EB2" w:rsidP="005A1DF6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17" w:type="pct"/>
            <w:vMerge/>
            <w:shd w:val="clear" w:color="auto" w:fill="4BACC6" w:themeFill="accent5"/>
            <w:vAlign w:val="center"/>
            <w:hideMark/>
          </w:tcPr>
          <w:p w:rsidR="00B57EB2" w:rsidRPr="00A30746" w:rsidRDefault="00B57EB2" w:rsidP="005A1DF6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4BACC6" w:themeFill="accent5"/>
            <w:vAlign w:val="center"/>
            <w:hideMark/>
          </w:tcPr>
          <w:p w:rsidR="00B57EB2" w:rsidRPr="00641293" w:rsidRDefault="00B57EB2" w:rsidP="005A1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81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601" w:type="pct"/>
            <w:shd w:val="clear" w:color="auto" w:fill="4BACC6" w:themeFill="accent5"/>
            <w:vAlign w:val="center"/>
            <w:hideMark/>
          </w:tcPr>
          <w:p w:rsidR="00B57EB2" w:rsidRPr="00581DE9" w:rsidRDefault="00B57EB2" w:rsidP="005A1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616" w:type="pct"/>
            <w:shd w:val="clear" w:color="auto" w:fill="4BACC6" w:themeFill="accent5"/>
            <w:vAlign w:val="center"/>
            <w:hideMark/>
          </w:tcPr>
          <w:p w:rsidR="00B57EB2" w:rsidRPr="00581DE9" w:rsidRDefault="00B57EB2" w:rsidP="005A1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550" w:type="pct"/>
            <w:shd w:val="clear" w:color="auto" w:fill="4BACC6" w:themeFill="accent5"/>
            <w:vAlign w:val="center"/>
            <w:hideMark/>
          </w:tcPr>
          <w:p w:rsidR="00B57EB2" w:rsidRPr="00581DE9" w:rsidRDefault="00B57EB2" w:rsidP="005A1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4A4F18" w:rsidRPr="009E73DE" w:rsidTr="00C11AF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hideMark/>
          </w:tcPr>
          <w:p w:rsidR="004A4F18" w:rsidRPr="009E73DE" w:rsidRDefault="004A4F18" w:rsidP="00A3074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73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Производство аффинажного золота </w:t>
            </w:r>
          </w:p>
        </w:tc>
        <w:tc>
          <w:tcPr>
            <w:tcW w:w="617" w:type="pct"/>
            <w:hideMark/>
          </w:tcPr>
          <w:p w:rsidR="004A4F18" w:rsidRPr="009E73DE" w:rsidRDefault="004A4F18" w:rsidP="005A1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3DE">
              <w:rPr>
                <w:rFonts w:ascii="Times New Roman" w:hAnsi="Times New Roman" w:cs="Times New Roman"/>
                <w:sz w:val="20"/>
                <w:szCs w:val="20"/>
              </w:rPr>
              <w:t>тыс. унций/тонн</w:t>
            </w:r>
          </w:p>
        </w:tc>
        <w:tc>
          <w:tcPr>
            <w:tcW w:w="599" w:type="pct"/>
          </w:tcPr>
          <w:p w:rsidR="004A4F18" w:rsidRPr="00290577" w:rsidRDefault="004A4F18" w:rsidP="004A4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420,4</w:t>
            </w:r>
            <w:r w:rsidRPr="002905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601" w:type="pct"/>
          </w:tcPr>
          <w:p w:rsidR="004A4F18" w:rsidRPr="0027188D" w:rsidRDefault="0027188D" w:rsidP="0027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643</w:t>
            </w:r>
            <w:r w:rsidR="004A4F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="004A4F18" w:rsidRPr="00245C7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4A4F18" w:rsidRPr="00245C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pct"/>
          </w:tcPr>
          <w:p w:rsidR="004A4F18" w:rsidRPr="0027188D" w:rsidRDefault="0027188D" w:rsidP="0027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729</w:t>
            </w:r>
            <w:r w:rsidR="004A4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4A4F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4A4F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50" w:type="pct"/>
          </w:tcPr>
          <w:p w:rsidR="004A4F18" w:rsidRPr="00C23AD3" w:rsidRDefault="00C23AD3" w:rsidP="00C23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3">
              <w:rPr>
                <w:rFonts w:ascii="Times New Roman" w:hAnsi="Times New Roman" w:cs="Times New Roman"/>
                <w:sz w:val="20"/>
                <w:szCs w:val="20"/>
              </w:rPr>
              <w:t>803,</w:t>
            </w:r>
            <w:r w:rsidRPr="00C23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4A4F18" w:rsidRPr="00C23A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23A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90577" w:rsidRPr="009E73DE" w:rsidTr="00C11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hideMark/>
          </w:tcPr>
          <w:p w:rsidR="00290577" w:rsidRPr="009E73DE" w:rsidRDefault="00290577" w:rsidP="00A3074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73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Производство металлургического кремния </w:t>
            </w:r>
          </w:p>
        </w:tc>
        <w:tc>
          <w:tcPr>
            <w:tcW w:w="617" w:type="pct"/>
            <w:hideMark/>
          </w:tcPr>
          <w:p w:rsidR="00290577" w:rsidRPr="009E73DE" w:rsidRDefault="00290577" w:rsidP="00A30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3DE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599" w:type="pct"/>
          </w:tcPr>
          <w:p w:rsidR="00290577" w:rsidRPr="00245C75" w:rsidRDefault="004A4F18" w:rsidP="004A4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12 732</w:t>
            </w:r>
          </w:p>
        </w:tc>
        <w:tc>
          <w:tcPr>
            <w:tcW w:w="601" w:type="pct"/>
          </w:tcPr>
          <w:p w:rsidR="00290577" w:rsidRPr="004A4F18" w:rsidRDefault="00C11AF5" w:rsidP="00C1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A4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pct"/>
          </w:tcPr>
          <w:p w:rsidR="00290577" w:rsidRPr="004A4F18" w:rsidRDefault="00C11AF5" w:rsidP="00C1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14 408</w:t>
            </w:r>
          </w:p>
        </w:tc>
        <w:tc>
          <w:tcPr>
            <w:tcW w:w="550" w:type="pct"/>
          </w:tcPr>
          <w:p w:rsidR="00290577" w:rsidRPr="00C23AD3" w:rsidRDefault="00C23AD3" w:rsidP="004A4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3">
              <w:rPr>
                <w:rFonts w:ascii="Times New Roman" w:hAnsi="Times New Roman" w:cs="Times New Roman"/>
                <w:sz w:val="20"/>
                <w:szCs w:val="20"/>
              </w:rPr>
              <w:t>17 099</w:t>
            </w:r>
          </w:p>
        </w:tc>
      </w:tr>
    </w:tbl>
    <w:p w:rsidR="00A30746" w:rsidRPr="00BD7719" w:rsidRDefault="00A30746" w:rsidP="00A30746">
      <w:pPr>
        <w:pStyle w:val="a5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105DF4" w:rsidRPr="00581DE9" w:rsidRDefault="00D83D4B" w:rsidP="002F649E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3538" w:rsidRPr="00581DE9">
        <w:rPr>
          <w:rFonts w:ascii="Times New Roman" w:hAnsi="Times New Roman" w:cs="Times New Roman"/>
          <w:sz w:val="28"/>
          <w:szCs w:val="28"/>
        </w:rPr>
        <w:t>роизводство</w:t>
      </w:r>
      <w:r w:rsidR="00105DF4" w:rsidRPr="00581DE9">
        <w:rPr>
          <w:rFonts w:ascii="Times New Roman" w:hAnsi="Times New Roman" w:cs="Times New Roman"/>
          <w:sz w:val="28"/>
          <w:szCs w:val="28"/>
        </w:rPr>
        <w:t xml:space="preserve"> аффинированного золота</w:t>
      </w:r>
      <w:r w:rsidR="00A53538" w:rsidRPr="00581DE9">
        <w:rPr>
          <w:rFonts w:ascii="Times New Roman" w:hAnsi="Times New Roman" w:cs="Times New Roman"/>
          <w:sz w:val="28"/>
          <w:szCs w:val="28"/>
        </w:rPr>
        <w:t xml:space="preserve"> </w:t>
      </w:r>
      <w:r w:rsidRPr="00581DE9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1DE9">
        <w:rPr>
          <w:rFonts w:ascii="Times New Roman" w:hAnsi="Times New Roman" w:cs="Times New Roman"/>
          <w:sz w:val="28"/>
          <w:szCs w:val="28"/>
          <w:lang w:val="kk-KZ"/>
        </w:rPr>
        <w:t xml:space="preserve">ффинажном заводе в г. Астана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581DE9">
        <w:rPr>
          <w:rFonts w:ascii="Times New Roman" w:hAnsi="Times New Roman" w:cs="Times New Roman"/>
          <w:sz w:val="28"/>
          <w:szCs w:val="28"/>
          <w:lang w:val="kk-KZ"/>
        </w:rPr>
        <w:t xml:space="preserve"> отчетном периоде </w:t>
      </w:r>
      <w:r w:rsidR="00A53538" w:rsidRPr="00581DE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7188D" w:rsidRPr="0027188D">
        <w:rPr>
          <w:rFonts w:ascii="Times New Roman" w:hAnsi="Times New Roman" w:cs="Times New Roman"/>
          <w:sz w:val="28"/>
          <w:szCs w:val="28"/>
        </w:rPr>
        <w:t>729</w:t>
      </w:r>
      <w:r w:rsidR="004A4F18">
        <w:rPr>
          <w:rFonts w:ascii="Times New Roman" w:hAnsi="Times New Roman" w:cs="Times New Roman"/>
          <w:sz w:val="28"/>
          <w:szCs w:val="28"/>
        </w:rPr>
        <w:t>,</w:t>
      </w:r>
      <w:r w:rsidR="0027188D" w:rsidRPr="0027188D">
        <w:rPr>
          <w:rFonts w:ascii="Times New Roman" w:hAnsi="Times New Roman" w:cs="Times New Roman"/>
          <w:sz w:val="28"/>
          <w:szCs w:val="28"/>
        </w:rPr>
        <w:t>6</w:t>
      </w:r>
      <w:r w:rsidR="003D5F68" w:rsidRPr="003D5F68">
        <w:rPr>
          <w:rFonts w:ascii="Times New Roman" w:hAnsi="Times New Roman" w:cs="Times New Roman"/>
          <w:sz w:val="28"/>
          <w:szCs w:val="28"/>
        </w:rPr>
        <w:t xml:space="preserve"> </w:t>
      </w:r>
      <w:r w:rsidR="00A53538" w:rsidRPr="00581DE9">
        <w:rPr>
          <w:rFonts w:ascii="Times New Roman" w:hAnsi="Times New Roman" w:cs="Times New Roman"/>
          <w:sz w:val="28"/>
          <w:szCs w:val="28"/>
        </w:rPr>
        <w:t xml:space="preserve">тыс. унций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188D" w:rsidRPr="0027188D">
        <w:rPr>
          <w:rFonts w:ascii="Times New Roman" w:hAnsi="Times New Roman" w:cs="Times New Roman"/>
          <w:sz w:val="28"/>
          <w:szCs w:val="28"/>
        </w:rPr>
        <w:t>22</w:t>
      </w:r>
      <w:r w:rsidR="003D5F68">
        <w:rPr>
          <w:rFonts w:ascii="Times New Roman" w:hAnsi="Times New Roman" w:cs="Times New Roman"/>
          <w:sz w:val="28"/>
          <w:szCs w:val="28"/>
        </w:rPr>
        <w:t>,</w:t>
      </w:r>
      <w:r w:rsidR="0027188D" w:rsidRPr="0027188D">
        <w:rPr>
          <w:rFonts w:ascii="Times New Roman" w:hAnsi="Times New Roman" w:cs="Times New Roman"/>
          <w:sz w:val="28"/>
          <w:szCs w:val="28"/>
        </w:rPr>
        <w:t>7</w:t>
      </w:r>
      <w:r w:rsidR="00A53538" w:rsidRPr="00581DE9">
        <w:rPr>
          <w:rFonts w:ascii="Times New Roman" w:hAnsi="Times New Roman" w:cs="Times New Roman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sz w:val="28"/>
          <w:szCs w:val="28"/>
        </w:rPr>
        <w:t xml:space="preserve">), из которых </w:t>
      </w:r>
      <w:r w:rsidR="0027188D" w:rsidRPr="0027188D">
        <w:rPr>
          <w:rFonts w:ascii="Times New Roman" w:hAnsi="Times New Roman" w:cs="Times New Roman"/>
          <w:sz w:val="28"/>
          <w:szCs w:val="28"/>
        </w:rPr>
        <w:t>12</w:t>
      </w:r>
      <w:r w:rsidR="0027188D">
        <w:rPr>
          <w:rFonts w:ascii="Times New Roman" w:hAnsi="Times New Roman" w:cs="Times New Roman"/>
          <w:sz w:val="28"/>
          <w:szCs w:val="28"/>
        </w:rPr>
        <w:t>6</w:t>
      </w:r>
      <w:r w:rsidR="0027188D" w:rsidRPr="0027188D">
        <w:rPr>
          <w:rFonts w:ascii="Times New Roman" w:hAnsi="Times New Roman" w:cs="Times New Roman"/>
          <w:sz w:val="28"/>
          <w:szCs w:val="28"/>
        </w:rPr>
        <w:t>,6</w:t>
      </w:r>
      <w:r w:rsidR="003D5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унций (</w:t>
      </w:r>
      <w:r w:rsidR="0027188D" w:rsidRPr="0027188D">
        <w:rPr>
          <w:rFonts w:ascii="Times New Roman" w:hAnsi="Times New Roman" w:cs="Times New Roman"/>
          <w:sz w:val="28"/>
          <w:szCs w:val="28"/>
        </w:rPr>
        <w:t>3</w:t>
      </w:r>
      <w:r w:rsidR="00245C75">
        <w:rPr>
          <w:rFonts w:ascii="Times New Roman" w:hAnsi="Times New Roman" w:cs="Times New Roman"/>
          <w:sz w:val="28"/>
          <w:szCs w:val="28"/>
        </w:rPr>
        <w:t>,</w:t>
      </w:r>
      <w:r w:rsidR="0027188D" w:rsidRPr="0027188D">
        <w:rPr>
          <w:rFonts w:ascii="Times New Roman" w:hAnsi="Times New Roman" w:cs="Times New Roman"/>
          <w:sz w:val="28"/>
          <w:szCs w:val="28"/>
        </w:rPr>
        <w:t>94</w:t>
      </w:r>
      <w:r w:rsidR="00484704">
        <w:rPr>
          <w:rFonts w:ascii="Times New Roman" w:hAnsi="Times New Roman" w:cs="Times New Roman"/>
          <w:sz w:val="28"/>
          <w:szCs w:val="28"/>
        </w:rPr>
        <w:t xml:space="preserve"> </w:t>
      </w:r>
      <w:r w:rsidR="00245C75">
        <w:rPr>
          <w:rFonts w:ascii="Times New Roman" w:hAnsi="Times New Roman" w:cs="Times New Roman"/>
          <w:sz w:val="28"/>
          <w:szCs w:val="28"/>
        </w:rPr>
        <w:t>тонны</w:t>
      </w:r>
      <w:r w:rsidR="00663B69">
        <w:rPr>
          <w:rFonts w:ascii="Times New Roman" w:hAnsi="Times New Roman" w:cs="Times New Roman"/>
          <w:sz w:val="28"/>
          <w:szCs w:val="28"/>
        </w:rPr>
        <w:t>) было</w:t>
      </w:r>
      <w:r>
        <w:rPr>
          <w:rFonts w:ascii="Times New Roman" w:hAnsi="Times New Roman" w:cs="Times New Roman"/>
          <w:sz w:val="28"/>
          <w:szCs w:val="28"/>
        </w:rPr>
        <w:t xml:space="preserve"> переработано из сырья, полученного на давальческой основе (толлинг)</w:t>
      </w:r>
      <w:r w:rsidR="00A53538" w:rsidRPr="00581DE9">
        <w:rPr>
          <w:rFonts w:ascii="Times New Roman" w:hAnsi="Times New Roman" w:cs="Times New Roman"/>
          <w:sz w:val="28"/>
          <w:szCs w:val="28"/>
        </w:rPr>
        <w:t>.</w:t>
      </w:r>
      <w:r w:rsidR="002F649E" w:rsidRPr="00581DE9">
        <w:rPr>
          <w:rFonts w:ascii="Times New Roman" w:hAnsi="Times New Roman" w:cs="Times New Roman"/>
          <w:sz w:val="28"/>
          <w:szCs w:val="28"/>
        </w:rPr>
        <w:t xml:space="preserve"> </w:t>
      </w:r>
      <w:r w:rsidR="0027188D">
        <w:rPr>
          <w:rFonts w:ascii="Times New Roman" w:hAnsi="Times New Roman" w:cs="Times New Roman"/>
          <w:sz w:val="28"/>
          <w:szCs w:val="28"/>
        </w:rPr>
        <w:t>Таким образом, фактический показатель</w:t>
      </w:r>
      <w:r w:rsidR="002F649E" w:rsidRPr="00581DE9">
        <w:rPr>
          <w:rFonts w:ascii="Times New Roman" w:hAnsi="Times New Roman" w:cs="Times New Roman"/>
          <w:sz w:val="28"/>
          <w:szCs w:val="28"/>
        </w:rPr>
        <w:t xml:space="preserve"> производства аффинажного золота за </w:t>
      </w:r>
      <w:r w:rsidR="0027188D" w:rsidRPr="0027188D">
        <w:rPr>
          <w:rFonts w:ascii="Times New Roman" w:hAnsi="Times New Roman" w:cs="Times New Roman"/>
          <w:sz w:val="28"/>
          <w:szCs w:val="28"/>
        </w:rPr>
        <w:t>12</w:t>
      </w:r>
      <w:r w:rsidR="00663B69">
        <w:rPr>
          <w:rFonts w:ascii="Times New Roman" w:hAnsi="Times New Roman" w:cs="Times New Roman"/>
          <w:sz w:val="28"/>
          <w:szCs w:val="28"/>
        </w:rPr>
        <w:t xml:space="preserve"> </w:t>
      </w:r>
      <w:r w:rsidR="00ED5BC3">
        <w:rPr>
          <w:rFonts w:ascii="Times New Roman" w:hAnsi="Times New Roman" w:cs="Times New Roman"/>
          <w:sz w:val="28"/>
          <w:szCs w:val="28"/>
        </w:rPr>
        <w:t>месяцев</w:t>
      </w:r>
      <w:r w:rsidR="00663B69">
        <w:rPr>
          <w:rFonts w:ascii="Times New Roman" w:hAnsi="Times New Roman" w:cs="Times New Roman"/>
          <w:sz w:val="28"/>
          <w:szCs w:val="28"/>
        </w:rPr>
        <w:t xml:space="preserve"> 2018</w:t>
      </w:r>
      <w:r w:rsidR="00296033">
        <w:rPr>
          <w:rFonts w:ascii="Times New Roman" w:hAnsi="Times New Roman" w:cs="Times New Roman"/>
          <w:sz w:val="28"/>
          <w:szCs w:val="28"/>
        </w:rPr>
        <w:t xml:space="preserve"> год</w:t>
      </w:r>
      <w:r w:rsidR="00663B69">
        <w:rPr>
          <w:rFonts w:ascii="Times New Roman" w:hAnsi="Times New Roman" w:cs="Times New Roman"/>
          <w:sz w:val="28"/>
          <w:szCs w:val="28"/>
        </w:rPr>
        <w:t>а</w:t>
      </w:r>
      <w:r w:rsidR="002F649E" w:rsidRPr="00581DE9">
        <w:rPr>
          <w:rFonts w:ascii="Times New Roman" w:hAnsi="Times New Roman" w:cs="Times New Roman"/>
          <w:sz w:val="28"/>
          <w:szCs w:val="28"/>
        </w:rPr>
        <w:t xml:space="preserve"> </w:t>
      </w:r>
      <w:r w:rsidR="00B03FA4">
        <w:rPr>
          <w:rFonts w:ascii="Times New Roman" w:hAnsi="Times New Roman" w:cs="Times New Roman"/>
          <w:sz w:val="28"/>
          <w:szCs w:val="28"/>
        </w:rPr>
        <w:t>пере</w:t>
      </w:r>
      <w:r w:rsidR="002F649E" w:rsidRPr="00581DE9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27188D" w:rsidRPr="0027188D">
        <w:rPr>
          <w:rFonts w:ascii="Times New Roman" w:hAnsi="Times New Roman" w:cs="Times New Roman"/>
          <w:sz w:val="28"/>
          <w:szCs w:val="28"/>
        </w:rPr>
        <w:t>13</w:t>
      </w:r>
      <w:r w:rsidR="00B03FA4">
        <w:rPr>
          <w:rFonts w:ascii="Times New Roman" w:hAnsi="Times New Roman" w:cs="Times New Roman"/>
          <w:sz w:val="28"/>
          <w:szCs w:val="28"/>
        </w:rPr>
        <w:t xml:space="preserve">% </w:t>
      </w:r>
      <w:r w:rsidR="0027188D"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 w:rsidR="00B03FA4">
        <w:rPr>
          <w:rFonts w:ascii="Times New Roman" w:hAnsi="Times New Roman" w:cs="Times New Roman"/>
          <w:sz w:val="28"/>
          <w:szCs w:val="28"/>
        </w:rPr>
        <w:t>к плану.</w:t>
      </w:r>
    </w:p>
    <w:p w:rsidR="00B03FA4" w:rsidRPr="00D6179E" w:rsidRDefault="00B03FA4" w:rsidP="00B03FA4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11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металлургического кремния </w:t>
      </w:r>
      <w:r w:rsidRPr="00604114">
        <w:rPr>
          <w:rFonts w:ascii="Times New Roman" w:hAnsi="Times New Roman" w:cs="Times New Roman"/>
          <w:sz w:val="28"/>
          <w:szCs w:val="28"/>
        </w:rPr>
        <w:t xml:space="preserve">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7188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119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60411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4114">
        <w:rPr>
          <w:rFonts w:ascii="Times New Roman" w:hAnsi="Times New Roman" w:cs="Times New Roman"/>
          <w:sz w:val="28"/>
          <w:szCs w:val="28"/>
        </w:rPr>
        <w:t xml:space="preserve"> на заводе в г. Караганда в отч</w:t>
      </w:r>
      <w:r>
        <w:rPr>
          <w:rFonts w:ascii="Times New Roman" w:hAnsi="Times New Roman" w:cs="Times New Roman"/>
          <w:sz w:val="28"/>
          <w:szCs w:val="28"/>
        </w:rPr>
        <w:t>етном периоде был исполнен на 7</w:t>
      </w:r>
      <w:r w:rsidR="00C11AF5">
        <w:rPr>
          <w:rFonts w:ascii="Times New Roman" w:hAnsi="Times New Roman" w:cs="Times New Roman"/>
          <w:sz w:val="28"/>
          <w:szCs w:val="28"/>
        </w:rPr>
        <w:t>8</w:t>
      </w:r>
      <w:r w:rsidRPr="00604114">
        <w:rPr>
          <w:rFonts w:ascii="Times New Roman" w:hAnsi="Times New Roman" w:cs="Times New Roman"/>
          <w:sz w:val="28"/>
          <w:szCs w:val="28"/>
        </w:rPr>
        <w:t>%.</w:t>
      </w:r>
    </w:p>
    <w:p w:rsidR="00604114" w:rsidRPr="00CA5B23" w:rsidRDefault="00604114" w:rsidP="00604114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A39CD" w:rsidRPr="00A53538" w:rsidRDefault="000C6C28" w:rsidP="008E76CC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3538">
        <w:rPr>
          <w:rFonts w:ascii="Times New Roman" w:hAnsi="Times New Roman" w:cs="Times New Roman"/>
          <w:b/>
          <w:sz w:val="28"/>
          <w:szCs w:val="28"/>
        </w:rPr>
        <w:t>Финансовые показатели</w:t>
      </w:r>
      <w:r w:rsidR="00A06CE0" w:rsidRPr="00A535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538" w:rsidRPr="00A53538" w:rsidRDefault="00A53538" w:rsidP="00CA18F4">
      <w:pPr>
        <w:pStyle w:val="a5"/>
        <w:spacing w:after="0" w:line="240" w:lineRule="auto"/>
        <w:ind w:right="708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-50"/>
        <w:tblW w:w="9996" w:type="dxa"/>
        <w:jc w:val="center"/>
        <w:tblLook w:val="04A0" w:firstRow="1" w:lastRow="0" w:firstColumn="1" w:lastColumn="0" w:noHBand="0" w:noVBand="1"/>
      </w:tblPr>
      <w:tblGrid>
        <w:gridCol w:w="2802"/>
        <w:gridCol w:w="1973"/>
        <w:gridCol w:w="1551"/>
        <w:gridCol w:w="1843"/>
        <w:gridCol w:w="1827"/>
      </w:tblGrid>
      <w:tr w:rsidR="00121E0D" w:rsidRPr="005A1DF6" w:rsidTr="00737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121E0D" w:rsidRPr="005A1DF6" w:rsidRDefault="00121E0D" w:rsidP="0048470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1DF6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973" w:type="dxa"/>
            <w:hideMark/>
          </w:tcPr>
          <w:p w:rsidR="00121E0D" w:rsidRPr="005A1DF6" w:rsidRDefault="00121E0D" w:rsidP="00484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5A1DF6">
              <w:rPr>
                <w:rFonts w:ascii="Times New Roman" w:eastAsia="Times New Roman" w:hAnsi="Times New Roman" w:cs="Times New Roman"/>
                <w:color w:val="auto"/>
              </w:rPr>
              <w:t>Ед.изм</w:t>
            </w:r>
            <w:r w:rsidRPr="005A1DF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</w:t>
            </w:r>
          </w:p>
        </w:tc>
        <w:tc>
          <w:tcPr>
            <w:tcW w:w="1551" w:type="dxa"/>
          </w:tcPr>
          <w:p w:rsidR="00C11AF5" w:rsidRDefault="00C11AF5" w:rsidP="00484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>12 мес.</w:t>
            </w:r>
          </w:p>
          <w:p w:rsidR="00121E0D" w:rsidRPr="005A1DF6" w:rsidRDefault="00121E0D" w:rsidP="00484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5A1DF6">
              <w:rPr>
                <w:rFonts w:ascii="Times New Roman" w:eastAsia="Times New Roman" w:hAnsi="Times New Roman" w:cs="Times New Roman"/>
                <w:color w:val="auto"/>
                <w:u w:val="single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>7</w:t>
            </w:r>
            <w:r w:rsidRPr="005A1DF6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г.</w:t>
            </w:r>
          </w:p>
          <w:p w:rsidR="00121E0D" w:rsidRPr="005A1DF6" w:rsidRDefault="00121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5A1DF6">
              <w:rPr>
                <w:rFonts w:ascii="Times New Roman" w:eastAsia="Times New Roman" w:hAnsi="Times New Roman" w:cs="Times New Roman"/>
                <w:color w:val="auto"/>
              </w:rPr>
              <w:t>Факт</w:t>
            </w:r>
          </w:p>
        </w:tc>
        <w:tc>
          <w:tcPr>
            <w:tcW w:w="1843" w:type="dxa"/>
            <w:hideMark/>
          </w:tcPr>
          <w:p w:rsidR="00C11AF5" w:rsidRDefault="00C11A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>12</w:t>
            </w:r>
            <w:r w:rsidR="00DD02B5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>.</w:t>
            </w:r>
          </w:p>
          <w:p w:rsidR="00121E0D" w:rsidRPr="005A1DF6" w:rsidRDefault="00121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5A1DF6">
              <w:rPr>
                <w:rFonts w:ascii="Times New Roman" w:eastAsia="Times New Roman" w:hAnsi="Times New Roman" w:cs="Times New Roman"/>
                <w:color w:val="auto"/>
                <w:u w:val="single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>8</w:t>
            </w:r>
            <w:r w:rsidRPr="005A1DF6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г.</w:t>
            </w:r>
          </w:p>
          <w:p w:rsidR="00121E0D" w:rsidRPr="005A1DF6" w:rsidRDefault="00121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5A1DF6">
              <w:rPr>
                <w:rFonts w:ascii="Times New Roman" w:eastAsia="Times New Roman" w:hAnsi="Times New Roman" w:cs="Times New Roman"/>
                <w:color w:val="auto"/>
              </w:rPr>
              <w:t>Факт</w:t>
            </w:r>
          </w:p>
        </w:tc>
        <w:tc>
          <w:tcPr>
            <w:tcW w:w="1827" w:type="dxa"/>
          </w:tcPr>
          <w:p w:rsidR="00121E0D" w:rsidRPr="00121E0D" w:rsidRDefault="00121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121E0D">
              <w:rPr>
                <w:rFonts w:ascii="Times New Roman" w:eastAsia="Times New Roman" w:hAnsi="Times New Roman" w:cs="Times New Roman"/>
                <w:color w:val="auto"/>
                <w:u w:val="single"/>
              </w:rPr>
              <w:t>201</w:t>
            </w:r>
            <w:r w:rsidR="0032005B">
              <w:rPr>
                <w:rFonts w:ascii="Times New Roman" w:eastAsia="Times New Roman" w:hAnsi="Times New Roman" w:cs="Times New Roman"/>
                <w:color w:val="auto"/>
                <w:u w:val="single"/>
              </w:rPr>
              <w:t>9</w:t>
            </w:r>
            <w:r w:rsidRPr="00121E0D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г.</w:t>
            </w:r>
          </w:p>
          <w:p w:rsidR="00121E0D" w:rsidRDefault="00461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>Прогноз</w:t>
            </w:r>
          </w:p>
        </w:tc>
      </w:tr>
      <w:tr w:rsidR="00121E0D" w:rsidRPr="009E73DE" w:rsidTr="00121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  <w:hideMark/>
          </w:tcPr>
          <w:p w:rsidR="00121E0D" w:rsidRPr="00741051" w:rsidRDefault="00121E0D" w:rsidP="00484704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741051">
              <w:rPr>
                <w:rFonts w:ascii="Times New Roman" w:eastAsia="Times New Roman" w:hAnsi="Times New Roman" w:cs="Times New Roman"/>
                <w:b w:val="0"/>
              </w:rPr>
              <w:t>EBITDA margin*</w:t>
            </w:r>
          </w:p>
        </w:tc>
        <w:tc>
          <w:tcPr>
            <w:tcW w:w="1973" w:type="dxa"/>
            <w:vAlign w:val="center"/>
            <w:hideMark/>
          </w:tcPr>
          <w:p w:rsidR="00121E0D" w:rsidRPr="009E73DE" w:rsidRDefault="00121E0D" w:rsidP="00484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E73D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51" w:type="dxa"/>
            <w:vAlign w:val="center"/>
          </w:tcPr>
          <w:p w:rsidR="00121E0D" w:rsidRPr="0044558B" w:rsidRDefault="0044558B" w:rsidP="008F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02B5">
              <w:rPr>
                <w:rFonts w:ascii="Times New Roman" w:eastAsia="Times New Roman" w:hAnsi="Times New Roman" w:cs="Times New Roman"/>
              </w:rPr>
              <w:t>(</w:t>
            </w:r>
            <w:r w:rsidR="00CD3BAA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F0D2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121E0D" w:rsidRPr="00196639" w:rsidRDefault="007A62AC" w:rsidP="008F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91405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F0D2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27" w:type="dxa"/>
          </w:tcPr>
          <w:p w:rsidR="00121E0D" w:rsidRPr="0091405F" w:rsidRDefault="007A62AC" w:rsidP="00BD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</w:rPr>
            </w:pPr>
            <w:r w:rsidRPr="00DD6103">
              <w:rPr>
                <w:rFonts w:ascii="Times New Roman" w:eastAsia="Times New Roman" w:hAnsi="Times New Roman" w:cs="Times New Roman"/>
              </w:rPr>
              <w:t>(</w:t>
            </w:r>
            <w:r w:rsidR="00DD6103" w:rsidRPr="00DD6103">
              <w:rPr>
                <w:rFonts w:ascii="Times New Roman" w:eastAsia="Times New Roman" w:hAnsi="Times New Roman" w:cs="Times New Roman"/>
              </w:rPr>
              <w:t>0,</w:t>
            </w:r>
            <w:r w:rsidR="008F0D26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DD61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21E0D" w:rsidRPr="009E73DE" w:rsidTr="00121E0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</w:tcPr>
          <w:p w:rsidR="00121E0D" w:rsidRPr="00C17BDD" w:rsidRDefault="00121E0D" w:rsidP="00484704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Чистый доход (убыток)</w:t>
            </w:r>
          </w:p>
        </w:tc>
        <w:tc>
          <w:tcPr>
            <w:tcW w:w="1973" w:type="dxa"/>
            <w:vAlign w:val="center"/>
          </w:tcPr>
          <w:p w:rsidR="00121E0D" w:rsidRPr="009E73DE" w:rsidRDefault="00121E0D" w:rsidP="00484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млрд. тенге</w:t>
            </w:r>
          </w:p>
        </w:tc>
        <w:tc>
          <w:tcPr>
            <w:tcW w:w="1551" w:type="dxa"/>
            <w:vAlign w:val="center"/>
          </w:tcPr>
          <w:p w:rsidR="00121E0D" w:rsidRPr="00CD3BAA" w:rsidRDefault="008F0D26" w:rsidP="00CD3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="007A62AC">
              <w:rPr>
                <w:rFonts w:ascii="Times New Roman" w:eastAsia="Times New Roman" w:hAnsi="Times New Roman" w:cs="Times New Roman"/>
              </w:rPr>
              <w:t>,</w:t>
            </w:r>
            <w:r w:rsidR="00CD3BAA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843" w:type="dxa"/>
            <w:noWrap/>
            <w:vAlign w:val="center"/>
          </w:tcPr>
          <w:p w:rsidR="00121E0D" w:rsidRPr="00CD3BAA" w:rsidRDefault="00716F81" w:rsidP="00CD3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="007A62AC">
              <w:rPr>
                <w:rFonts w:ascii="Times New Roman" w:eastAsia="Times New Roman" w:hAnsi="Times New Roman" w:cs="Times New Roman"/>
              </w:rPr>
              <w:t>,</w:t>
            </w:r>
            <w:r w:rsidR="00CD3BA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827" w:type="dxa"/>
          </w:tcPr>
          <w:p w:rsidR="00121E0D" w:rsidRPr="00BD4311" w:rsidRDefault="008F0D26" w:rsidP="00CD3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D4311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</w:tr>
    </w:tbl>
    <w:p w:rsidR="00F32CDA" w:rsidRPr="009E73DE" w:rsidRDefault="006F1322" w:rsidP="00900EE8">
      <w:pPr>
        <w:spacing w:after="0" w:line="240" w:lineRule="auto"/>
        <w:ind w:left="851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9E73DE">
        <w:rPr>
          <w:rFonts w:ascii="Times New Roman" w:hAnsi="Times New Roman" w:cs="Times New Roman"/>
          <w:i/>
          <w:sz w:val="20"/>
          <w:szCs w:val="20"/>
        </w:rPr>
        <w:t>* - показател</w:t>
      </w:r>
      <w:r w:rsidR="001D0298" w:rsidRPr="009E73DE">
        <w:rPr>
          <w:rFonts w:ascii="Times New Roman" w:hAnsi="Times New Roman" w:cs="Times New Roman"/>
          <w:i/>
          <w:sz w:val="20"/>
          <w:szCs w:val="20"/>
        </w:rPr>
        <w:t xml:space="preserve">и </w:t>
      </w:r>
      <w:r w:rsidRPr="009E73DE">
        <w:rPr>
          <w:rFonts w:ascii="Times New Roman" w:hAnsi="Times New Roman" w:cs="Times New Roman"/>
          <w:i/>
          <w:sz w:val="20"/>
          <w:szCs w:val="20"/>
        </w:rPr>
        <w:t>п</w:t>
      </w:r>
      <w:r w:rsidR="00F42689" w:rsidRPr="009E73DE">
        <w:rPr>
          <w:rFonts w:ascii="Times New Roman" w:hAnsi="Times New Roman" w:cs="Times New Roman"/>
          <w:i/>
          <w:sz w:val="20"/>
          <w:szCs w:val="20"/>
        </w:rPr>
        <w:t xml:space="preserve">осчитаны </w:t>
      </w:r>
      <w:r w:rsidRPr="009E73DE">
        <w:rPr>
          <w:rFonts w:ascii="Times New Roman" w:hAnsi="Times New Roman" w:cs="Times New Roman"/>
          <w:i/>
          <w:sz w:val="20"/>
          <w:szCs w:val="20"/>
        </w:rPr>
        <w:t>по методике, утвержденной Единственным акционером</w:t>
      </w:r>
    </w:p>
    <w:p w:rsidR="001C6946" w:rsidRPr="00BD7719" w:rsidRDefault="001C6946" w:rsidP="00712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D6179E" w:rsidRDefault="00D6179E" w:rsidP="00CA1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5CCB" w:rsidRDefault="00CA18F4" w:rsidP="00CA1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DE9">
        <w:rPr>
          <w:rFonts w:ascii="Times New Roman" w:hAnsi="Times New Roman" w:cs="Times New Roman"/>
          <w:sz w:val="28"/>
          <w:szCs w:val="28"/>
        </w:rPr>
        <w:t xml:space="preserve">За </w:t>
      </w:r>
      <w:r w:rsidR="0091405F">
        <w:rPr>
          <w:rFonts w:ascii="Times New Roman" w:hAnsi="Times New Roman" w:cs="Times New Roman"/>
          <w:sz w:val="28"/>
          <w:szCs w:val="28"/>
        </w:rPr>
        <w:t>12</w:t>
      </w:r>
      <w:r w:rsidR="007A62AC">
        <w:rPr>
          <w:rFonts w:ascii="Times New Roman" w:hAnsi="Times New Roman" w:cs="Times New Roman"/>
          <w:sz w:val="28"/>
          <w:szCs w:val="28"/>
        </w:rPr>
        <w:t xml:space="preserve"> </w:t>
      </w:r>
      <w:r w:rsidR="006E5119">
        <w:rPr>
          <w:rFonts w:ascii="Times New Roman" w:hAnsi="Times New Roman" w:cs="Times New Roman"/>
          <w:sz w:val="28"/>
          <w:szCs w:val="28"/>
        </w:rPr>
        <w:t>месяцев</w:t>
      </w:r>
      <w:r w:rsidR="007A62AC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D02B5">
        <w:rPr>
          <w:rFonts w:ascii="Times New Roman" w:hAnsi="Times New Roman" w:cs="Times New Roman"/>
          <w:sz w:val="28"/>
          <w:szCs w:val="28"/>
        </w:rPr>
        <w:t>а</w:t>
      </w:r>
      <w:r w:rsidRPr="00581DE9">
        <w:rPr>
          <w:rFonts w:ascii="Times New Roman" w:hAnsi="Times New Roman" w:cs="Times New Roman"/>
          <w:sz w:val="28"/>
          <w:szCs w:val="28"/>
        </w:rPr>
        <w:t xml:space="preserve"> фактический показатель </w:t>
      </w:r>
      <w:r w:rsidRPr="004130E5">
        <w:rPr>
          <w:rFonts w:ascii="Times New Roman" w:hAnsi="Times New Roman" w:cs="Times New Roman"/>
          <w:b/>
          <w:sz w:val="28"/>
          <w:szCs w:val="28"/>
        </w:rPr>
        <w:t xml:space="preserve">EBITDA </w:t>
      </w:r>
      <w:proofErr w:type="spellStart"/>
      <w:r w:rsidRPr="004130E5">
        <w:rPr>
          <w:rFonts w:ascii="Times New Roman" w:hAnsi="Times New Roman" w:cs="Times New Roman"/>
          <w:b/>
          <w:sz w:val="28"/>
          <w:szCs w:val="28"/>
        </w:rPr>
        <w:t>margin</w:t>
      </w:r>
      <w:proofErr w:type="spellEnd"/>
      <w:r w:rsidRPr="00581DE9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1405F">
        <w:rPr>
          <w:rFonts w:ascii="Times New Roman" w:hAnsi="Times New Roman" w:cs="Times New Roman"/>
          <w:sz w:val="28"/>
          <w:szCs w:val="28"/>
        </w:rPr>
        <w:t>1</w:t>
      </w:r>
      <w:r w:rsidRPr="00581DE9">
        <w:rPr>
          <w:rFonts w:ascii="Times New Roman" w:hAnsi="Times New Roman" w:cs="Times New Roman"/>
          <w:sz w:val="28"/>
          <w:szCs w:val="28"/>
        </w:rPr>
        <w:t>,</w:t>
      </w:r>
      <w:r w:rsidR="0091405F">
        <w:rPr>
          <w:rFonts w:ascii="Times New Roman" w:hAnsi="Times New Roman" w:cs="Times New Roman"/>
          <w:sz w:val="28"/>
          <w:szCs w:val="28"/>
        </w:rPr>
        <w:t>1</w:t>
      </w:r>
      <w:r w:rsidRPr="00581DE9">
        <w:rPr>
          <w:rFonts w:ascii="Times New Roman" w:hAnsi="Times New Roman" w:cs="Times New Roman"/>
          <w:sz w:val="28"/>
          <w:szCs w:val="28"/>
        </w:rPr>
        <w:t xml:space="preserve">%. </w:t>
      </w:r>
      <w:r w:rsidR="00A8762B">
        <w:rPr>
          <w:rFonts w:ascii="Times New Roman" w:hAnsi="Times New Roman" w:cs="Times New Roman"/>
          <w:sz w:val="28"/>
          <w:szCs w:val="28"/>
        </w:rPr>
        <w:t xml:space="preserve">Отрицательная </w:t>
      </w:r>
      <w:r w:rsidR="00CA5B23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Pr="00581DE9">
        <w:rPr>
          <w:rFonts w:ascii="Times New Roman" w:hAnsi="Times New Roman" w:cs="Times New Roman"/>
          <w:sz w:val="28"/>
          <w:szCs w:val="28"/>
        </w:rPr>
        <w:t>показателя EBITDA margin</w:t>
      </w:r>
      <w:r w:rsidR="007A62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</w:t>
      </w:r>
      <w:r w:rsidR="007A62AC">
        <w:rPr>
          <w:rFonts w:ascii="Times New Roman" w:hAnsi="Times New Roman" w:cs="Times New Roman"/>
          <w:sz w:val="28"/>
          <w:szCs w:val="28"/>
        </w:rPr>
        <w:t>,</w:t>
      </w:r>
      <w:r w:rsidRPr="00581DE9">
        <w:rPr>
          <w:rFonts w:ascii="Times New Roman" w:hAnsi="Times New Roman" w:cs="Times New Roman"/>
          <w:sz w:val="28"/>
          <w:szCs w:val="28"/>
        </w:rPr>
        <w:t xml:space="preserve"> </w:t>
      </w:r>
      <w:r w:rsidR="0091405F">
        <w:rPr>
          <w:rFonts w:ascii="Times New Roman" w:hAnsi="Times New Roman" w:cs="Times New Roman"/>
          <w:sz w:val="28"/>
          <w:szCs w:val="28"/>
        </w:rPr>
        <w:t>обусловлена увеличением</w:t>
      </w:r>
      <w:r w:rsidR="007A62AC">
        <w:rPr>
          <w:rFonts w:ascii="Times New Roman" w:hAnsi="Times New Roman" w:cs="Times New Roman"/>
          <w:sz w:val="28"/>
          <w:szCs w:val="28"/>
        </w:rPr>
        <w:t xml:space="preserve"> </w:t>
      </w:r>
      <w:r w:rsidR="00A8762B">
        <w:rPr>
          <w:rFonts w:ascii="Times New Roman" w:hAnsi="Times New Roman" w:cs="Times New Roman"/>
          <w:sz w:val="28"/>
          <w:szCs w:val="28"/>
        </w:rPr>
        <w:t xml:space="preserve">Операционного убытка </w:t>
      </w:r>
      <w:r w:rsidR="00725AF7">
        <w:rPr>
          <w:rFonts w:ascii="Times New Roman" w:hAnsi="Times New Roman" w:cs="Times New Roman"/>
          <w:sz w:val="28"/>
          <w:szCs w:val="28"/>
        </w:rPr>
        <w:t>(-</w:t>
      </w:r>
      <w:r w:rsidR="008F0D26">
        <w:rPr>
          <w:rFonts w:ascii="Times New Roman" w:hAnsi="Times New Roman" w:cs="Times New Roman"/>
          <w:sz w:val="28"/>
          <w:szCs w:val="28"/>
        </w:rPr>
        <w:t>1</w:t>
      </w:r>
      <w:r w:rsidR="00725AF7">
        <w:rPr>
          <w:rFonts w:ascii="Times New Roman" w:hAnsi="Times New Roman" w:cs="Times New Roman"/>
          <w:sz w:val="28"/>
          <w:szCs w:val="28"/>
        </w:rPr>
        <w:t>,</w:t>
      </w:r>
      <w:r w:rsidR="008F0D26">
        <w:rPr>
          <w:rFonts w:ascii="Times New Roman" w:hAnsi="Times New Roman" w:cs="Times New Roman"/>
          <w:sz w:val="28"/>
          <w:szCs w:val="28"/>
        </w:rPr>
        <w:t>2</w:t>
      </w:r>
      <w:r w:rsidR="00725AF7">
        <w:rPr>
          <w:rFonts w:ascii="Times New Roman" w:hAnsi="Times New Roman" w:cs="Times New Roman"/>
          <w:sz w:val="28"/>
          <w:szCs w:val="28"/>
        </w:rPr>
        <w:t xml:space="preserve"> млрд. тенге) </w:t>
      </w:r>
      <w:r w:rsidR="00A8762B">
        <w:rPr>
          <w:rFonts w:ascii="Times New Roman" w:hAnsi="Times New Roman" w:cs="Times New Roman"/>
          <w:sz w:val="28"/>
          <w:szCs w:val="28"/>
        </w:rPr>
        <w:t xml:space="preserve">вследствие увеличения Общих и административных расходов </w:t>
      </w:r>
      <w:r w:rsidR="008F0D26">
        <w:rPr>
          <w:rFonts w:ascii="Times New Roman" w:hAnsi="Times New Roman" w:cs="Times New Roman"/>
          <w:sz w:val="28"/>
          <w:szCs w:val="28"/>
        </w:rPr>
        <w:t xml:space="preserve">(-0,9 млрд. тенге) </w:t>
      </w:r>
      <w:r w:rsidR="00A8762B">
        <w:rPr>
          <w:rFonts w:ascii="Times New Roman" w:hAnsi="Times New Roman" w:cs="Times New Roman"/>
          <w:sz w:val="28"/>
          <w:szCs w:val="28"/>
        </w:rPr>
        <w:t xml:space="preserve">и расходов по транспортировке и реализации </w:t>
      </w:r>
      <w:r w:rsidR="00725AF7">
        <w:rPr>
          <w:rFonts w:ascii="Times New Roman" w:hAnsi="Times New Roman" w:cs="Times New Roman"/>
          <w:sz w:val="28"/>
          <w:szCs w:val="28"/>
        </w:rPr>
        <w:t>(-</w:t>
      </w:r>
      <w:r w:rsidR="008F0D26">
        <w:rPr>
          <w:rFonts w:ascii="Times New Roman" w:hAnsi="Times New Roman" w:cs="Times New Roman"/>
          <w:sz w:val="28"/>
          <w:szCs w:val="28"/>
        </w:rPr>
        <w:t>0</w:t>
      </w:r>
      <w:r w:rsidR="00725AF7">
        <w:rPr>
          <w:rFonts w:ascii="Times New Roman" w:hAnsi="Times New Roman" w:cs="Times New Roman"/>
          <w:sz w:val="28"/>
          <w:szCs w:val="28"/>
        </w:rPr>
        <w:t>,</w:t>
      </w:r>
      <w:r w:rsidR="008F0D26">
        <w:rPr>
          <w:rFonts w:ascii="Times New Roman" w:hAnsi="Times New Roman" w:cs="Times New Roman"/>
          <w:sz w:val="28"/>
          <w:szCs w:val="28"/>
        </w:rPr>
        <w:t>2</w:t>
      </w:r>
      <w:r w:rsidR="007A62AC">
        <w:rPr>
          <w:rFonts w:ascii="Times New Roman" w:hAnsi="Times New Roman" w:cs="Times New Roman"/>
          <w:sz w:val="28"/>
          <w:szCs w:val="28"/>
        </w:rPr>
        <w:t xml:space="preserve"> </w:t>
      </w:r>
      <w:r w:rsidR="004E5CCB">
        <w:rPr>
          <w:rFonts w:ascii="Times New Roman" w:hAnsi="Times New Roman" w:cs="Times New Roman"/>
          <w:sz w:val="28"/>
          <w:szCs w:val="28"/>
        </w:rPr>
        <w:t>мл</w:t>
      </w:r>
      <w:r w:rsidR="00AC711E">
        <w:rPr>
          <w:rFonts w:ascii="Times New Roman" w:hAnsi="Times New Roman" w:cs="Times New Roman"/>
          <w:sz w:val="28"/>
          <w:szCs w:val="28"/>
        </w:rPr>
        <w:t>рд</w:t>
      </w:r>
      <w:r w:rsidR="004E5CCB">
        <w:rPr>
          <w:rFonts w:ascii="Times New Roman" w:hAnsi="Times New Roman" w:cs="Times New Roman"/>
          <w:sz w:val="28"/>
          <w:szCs w:val="28"/>
        </w:rPr>
        <w:t>. тенге</w:t>
      </w:r>
      <w:r w:rsidR="00725AF7">
        <w:rPr>
          <w:rFonts w:ascii="Times New Roman" w:hAnsi="Times New Roman" w:cs="Times New Roman"/>
          <w:sz w:val="28"/>
          <w:szCs w:val="28"/>
        </w:rPr>
        <w:t>)</w:t>
      </w:r>
      <w:r w:rsidR="008F0D26">
        <w:rPr>
          <w:rFonts w:ascii="Times New Roman" w:hAnsi="Times New Roman" w:cs="Times New Roman"/>
          <w:sz w:val="28"/>
          <w:szCs w:val="28"/>
        </w:rPr>
        <w:t xml:space="preserve"> и валовой прибыли на </w:t>
      </w:r>
      <w:r w:rsidR="00664914">
        <w:rPr>
          <w:rFonts w:ascii="Times New Roman" w:hAnsi="Times New Roman" w:cs="Times New Roman"/>
          <w:sz w:val="28"/>
          <w:szCs w:val="28"/>
        </w:rPr>
        <w:t>(0,1 млрд. тенге)</w:t>
      </w:r>
      <w:r w:rsidR="00607E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18F4" w:rsidRDefault="00725AF7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7A62AC">
        <w:rPr>
          <w:rFonts w:ascii="Times New Roman" w:hAnsi="Times New Roman" w:cs="Times New Roman"/>
          <w:sz w:val="28"/>
          <w:szCs w:val="28"/>
        </w:rPr>
        <w:t xml:space="preserve"> </w:t>
      </w:r>
      <w:r w:rsidR="00C17BDD" w:rsidRPr="00C17BDD">
        <w:rPr>
          <w:rFonts w:ascii="Times New Roman" w:hAnsi="Times New Roman" w:cs="Times New Roman"/>
          <w:sz w:val="28"/>
          <w:szCs w:val="28"/>
        </w:rPr>
        <w:t xml:space="preserve">Чистого дохода на </w:t>
      </w:r>
      <w:r w:rsidR="00664914">
        <w:rPr>
          <w:rFonts w:ascii="Times New Roman" w:hAnsi="Times New Roman" w:cs="Times New Roman"/>
          <w:sz w:val="28"/>
          <w:szCs w:val="28"/>
        </w:rPr>
        <w:t>12,5</w:t>
      </w:r>
      <w:r w:rsidR="00E96507">
        <w:rPr>
          <w:rFonts w:ascii="Times New Roman" w:hAnsi="Times New Roman" w:cs="Times New Roman"/>
          <w:sz w:val="28"/>
          <w:szCs w:val="28"/>
        </w:rPr>
        <w:t xml:space="preserve"> </w:t>
      </w:r>
      <w:r w:rsidR="00C17BDD" w:rsidRPr="00C17BDD">
        <w:rPr>
          <w:rFonts w:ascii="Times New Roman" w:hAnsi="Times New Roman" w:cs="Times New Roman"/>
          <w:sz w:val="28"/>
          <w:szCs w:val="28"/>
        </w:rPr>
        <w:t>мл</w:t>
      </w:r>
      <w:r w:rsidR="00A54FDF">
        <w:rPr>
          <w:rFonts w:ascii="Times New Roman" w:hAnsi="Times New Roman" w:cs="Times New Roman"/>
          <w:sz w:val="28"/>
          <w:szCs w:val="28"/>
        </w:rPr>
        <w:t>рд</w:t>
      </w:r>
      <w:r w:rsidR="00C17BDD" w:rsidRPr="00C17BDD">
        <w:rPr>
          <w:rFonts w:ascii="Times New Roman" w:hAnsi="Times New Roman" w:cs="Times New Roman"/>
          <w:sz w:val="28"/>
          <w:szCs w:val="28"/>
        </w:rPr>
        <w:t>. тенге</w:t>
      </w:r>
      <w:bookmarkStart w:id="0" w:name="_GoBack"/>
      <w:bookmarkEnd w:id="0"/>
      <w:r w:rsidRPr="00725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12 месяцев 2018 года</w:t>
      </w:r>
      <w:r w:rsidR="00E96507">
        <w:rPr>
          <w:rFonts w:ascii="Times New Roman" w:hAnsi="Times New Roman" w:cs="Times New Roman"/>
          <w:sz w:val="28"/>
          <w:szCs w:val="28"/>
        </w:rPr>
        <w:t>,</w:t>
      </w:r>
      <w:r w:rsidR="00C17BDD" w:rsidRPr="00C17BDD">
        <w:rPr>
          <w:rFonts w:ascii="Times New Roman" w:hAnsi="Times New Roman" w:cs="Times New Roman"/>
          <w:sz w:val="28"/>
          <w:szCs w:val="28"/>
        </w:rPr>
        <w:t xml:space="preserve"> </w:t>
      </w:r>
      <w:r w:rsidR="008B4727">
        <w:rPr>
          <w:rFonts w:ascii="Times New Roman" w:hAnsi="Times New Roman" w:cs="Times New Roman"/>
          <w:sz w:val="28"/>
          <w:szCs w:val="28"/>
        </w:rPr>
        <w:t>в</w:t>
      </w:r>
      <w:r w:rsidR="00C17BDD">
        <w:rPr>
          <w:rFonts w:ascii="Times New Roman" w:hAnsi="Times New Roman" w:cs="Times New Roman"/>
          <w:sz w:val="28"/>
          <w:szCs w:val="28"/>
        </w:rPr>
        <w:t xml:space="preserve"> </w:t>
      </w:r>
      <w:r w:rsidR="008B4727">
        <w:rPr>
          <w:rFonts w:ascii="Times New Roman" w:hAnsi="Times New Roman" w:cs="Times New Roman"/>
          <w:sz w:val="28"/>
          <w:szCs w:val="28"/>
        </w:rPr>
        <w:t>сравнении</w:t>
      </w:r>
      <w:r w:rsidR="00C17BDD" w:rsidRPr="00C17BDD">
        <w:rPr>
          <w:rFonts w:ascii="Times New Roman" w:hAnsi="Times New Roman" w:cs="Times New Roman"/>
          <w:sz w:val="28"/>
          <w:szCs w:val="28"/>
        </w:rPr>
        <w:t xml:space="preserve"> с </w:t>
      </w:r>
      <w:r w:rsidR="00E96507">
        <w:rPr>
          <w:rFonts w:ascii="Times New Roman" w:hAnsi="Times New Roman" w:cs="Times New Roman"/>
          <w:sz w:val="28"/>
          <w:szCs w:val="28"/>
        </w:rPr>
        <w:t>аналогичным периодом 2017</w:t>
      </w:r>
      <w:r w:rsidR="00A54FDF">
        <w:rPr>
          <w:rFonts w:ascii="Times New Roman" w:hAnsi="Times New Roman" w:cs="Times New Roman"/>
          <w:sz w:val="28"/>
          <w:szCs w:val="28"/>
        </w:rPr>
        <w:t xml:space="preserve"> год</w:t>
      </w:r>
      <w:r w:rsidR="008B4727">
        <w:rPr>
          <w:rFonts w:ascii="Times New Roman" w:hAnsi="Times New Roman" w:cs="Times New Roman"/>
          <w:sz w:val="28"/>
          <w:szCs w:val="28"/>
        </w:rPr>
        <w:t>а</w:t>
      </w:r>
      <w:r w:rsidR="00C17BDD" w:rsidRPr="00C17BDD">
        <w:rPr>
          <w:rFonts w:ascii="Times New Roman" w:hAnsi="Times New Roman" w:cs="Times New Roman"/>
          <w:sz w:val="28"/>
          <w:szCs w:val="28"/>
        </w:rPr>
        <w:t xml:space="preserve">, связан, в основном, </w:t>
      </w:r>
      <w:r w:rsidR="00B776A1">
        <w:rPr>
          <w:rFonts w:ascii="Times New Roman" w:hAnsi="Times New Roman" w:cs="Times New Roman"/>
          <w:sz w:val="28"/>
          <w:szCs w:val="28"/>
        </w:rPr>
        <w:t xml:space="preserve">(1) снижением </w:t>
      </w:r>
      <w:r w:rsidR="00B776A1" w:rsidRPr="00C17BDD">
        <w:rPr>
          <w:rFonts w:ascii="Times New Roman" w:hAnsi="Times New Roman" w:cs="Times New Roman"/>
          <w:sz w:val="28"/>
          <w:szCs w:val="28"/>
        </w:rPr>
        <w:t>чистой при</w:t>
      </w:r>
      <w:r w:rsidR="00B776A1">
        <w:rPr>
          <w:rFonts w:ascii="Times New Roman" w:hAnsi="Times New Roman" w:cs="Times New Roman"/>
          <w:sz w:val="28"/>
          <w:szCs w:val="28"/>
        </w:rPr>
        <w:t>были ТОО «</w:t>
      </w:r>
      <w:proofErr w:type="spellStart"/>
      <w:r w:rsidR="00B776A1">
        <w:rPr>
          <w:rFonts w:ascii="Times New Roman" w:hAnsi="Times New Roman" w:cs="Times New Roman"/>
          <w:sz w:val="28"/>
          <w:szCs w:val="28"/>
        </w:rPr>
        <w:t>Казцинк</w:t>
      </w:r>
      <w:proofErr w:type="spellEnd"/>
      <w:r w:rsidR="00B776A1">
        <w:rPr>
          <w:rFonts w:ascii="Times New Roman" w:hAnsi="Times New Roman" w:cs="Times New Roman"/>
          <w:sz w:val="28"/>
          <w:szCs w:val="28"/>
        </w:rPr>
        <w:t>», учитываемой</w:t>
      </w:r>
      <w:r w:rsidR="00B776A1" w:rsidRPr="00C17BDD">
        <w:rPr>
          <w:rFonts w:ascii="Times New Roman" w:hAnsi="Times New Roman" w:cs="Times New Roman"/>
          <w:sz w:val="28"/>
          <w:szCs w:val="28"/>
        </w:rPr>
        <w:t xml:space="preserve"> </w:t>
      </w:r>
      <w:r w:rsidR="00B776A1">
        <w:rPr>
          <w:rFonts w:ascii="Times New Roman" w:hAnsi="Times New Roman" w:cs="Times New Roman"/>
          <w:sz w:val="28"/>
          <w:szCs w:val="28"/>
        </w:rPr>
        <w:t xml:space="preserve">Обществом методом </w:t>
      </w:r>
      <w:r w:rsidR="00B776A1" w:rsidRPr="00C17BDD">
        <w:rPr>
          <w:rFonts w:ascii="Times New Roman" w:hAnsi="Times New Roman" w:cs="Times New Roman"/>
          <w:sz w:val="28"/>
          <w:szCs w:val="28"/>
        </w:rPr>
        <w:t xml:space="preserve">долевого участия </w:t>
      </w:r>
      <w:r w:rsidR="00B776A1">
        <w:rPr>
          <w:rFonts w:ascii="Times New Roman" w:hAnsi="Times New Roman" w:cs="Times New Roman"/>
          <w:sz w:val="28"/>
          <w:szCs w:val="28"/>
        </w:rPr>
        <w:t>(-</w:t>
      </w:r>
      <w:r w:rsidR="00664914" w:rsidRPr="00664914">
        <w:rPr>
          <w:rFonts w:ascii="Times New Roman" w:hAnsi="Times New Roman" w:cs="Times New Roman"/>
          <w:sz w:val="28"/>
          <w:szCs w:val="28"/>
        </w:rPr>
        <w:t>11</w:t>
      </w:r>
      <w:r w:rsidR="00664914">
        <w:rPr>
          <w:rFonts w:ascii="Times New Roman" w:hAnsi="Times New Roman" w:cs="Times New Roman"/>
          <w:sz w:val="28"/>
          <w:szCs w:val="28"/>
        </w:rPr>
        <w:t>,</w:t>
      </w:r>
      <w:r w:rsidR="00664914" w:rsidRPr="00664914">
        <w:rPr>
          <w:rFonts w:ascii="Times New Roman" w:hAnsi="Times New Roman" w:cs="Times New Roman"/>
          <w:sz w:val="28"/>
          <w:szCs w:val="28"/>
        </w:rPr>
        <w:t>4</w:t>
      </w:r>
      <w:r w:rsidR="00664914">
        <w:rPr>
          <w:rFonts w:ascii="Times New Roman" w:hAnsi="Times New Roman" w:cs="Times New Roman"/>
          <w:sz w:val="28"/>
          <w:szCs w:val="28"/>
        </w:rPr>
        <w:t xml:space="preserve"> млрд</w:t>
      </w:r>
      <w:r w:rsidR="00664914" w:rsidRPr="00664914">
        <w:rPr>
          <w:rFonts w:ascii="Times New Roman" w:hAnsi="Times New Roman" w:cs="Times New Roman"/>
          <w:sz w:val="28"/>
          <w:szCs w:val="28"/>
        </w:rPr>
        <w:t>. тенге</w:t>
      </w:r>
      <w:r w:rsidR="00B776A1">
        <w:rPr>
          <w:rFonts w:ascii="Times New Roman" w:hAnsi="Times New Roman" w:cs="Times New Roman"/>
          <w:sz w:val="28"/>
          <w:szCs w:val="28"/>
        </w:rPr>
        <w:t>)</w:t>
      </w:r>
      <w:r w:rsidR="00664914" w:rsidRPr="00664914">
        <w:rPr>
          <w:rFonts w:ascii="Times New Roman" w:hAnsi="Times New Roman" w:cs="Times New Roman"/>
          <w:sz w:val="28"/>
          <w:szCs w:val="28"/>
        </w:rPr>
        <w:t>, сформировавшееся за счет сокращения доходов от реализации ТОО «</w:t>
      </w:r>
      <w:proofErr w:type="spellStart"/>
      <w:r w:rsidR="00664914" w:rsidRPr="00664914">
        <w:rPr>
          <w:rFonts w:ascii="Times New Roman" w:hAnsi="Times New Roman" w:cs="Times New Roman"/>
          <w:sz w:val="28"/>
          <w:szCs w:val="28"/>
        </w:rPr>
        <w:t>Казцинк</w:t>
      </w:r>
      <w:proofErr w:type="spellEnd"/>
      <w:r w:rsidR="00664914" w:rsidRPr="00664914">
        <w:rPr>
          <w:rFonts w:ascii="Times New Roman" w:hAnsi="Times New Roman" w:cs="Times New Roman"/>
          <w:sz w:val="28"/>
          <w:szCs w:val="28"/>
        </w:rPr>
        <w:t xml:space="preserve">», по причине сокращения объемов производства свинца (на -18% или -10 тыс. тонн), меди (на -11% или 6 тыс. тонн), при общем снижении </w:t>
      </w:r>
      <w:proofErr w:type="spellStart"/>
      <w:r w:rsidR="00664914" w:rsidRPr="00664914">
        <w:rPr>
          <w:rFonts w:ascii="Times New Roman" w:hAnsi="Times New Roman" w:cs="Times New Roman"/>
          <w:sz w:val="28"/>
          <w:szCs w:val="28"/>
        </w:rPr>
        <w:t>передел</w:t>
      </w:r>
      <w:r w:rsidR="00664914">
        <w:rPr>
          <w:rFonts w:ascii="Times New Roman" w:hAnsi="Times New Roman" w:cs="Times New Roman"/>
          <w:sz w:val="28"/>
          <w:szCs w:val="28"/>
        </w:rPr>
        <w:t>ьных</w:t>
      </w:r>
      <w:proofErr w:type="spellEnd"/>
      <w:r w:rsidR="00664914" w:rsidRPr="00664914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664914">
        <w:rPr>
          <w:rFonts w:ascii="Times New Roman" w:hAnsi="Times New Roman" w:cs="Times New Roman"/>
          <w:sz w:val="28"/>
          <w:szCs w:val="28"/>
        </w:rPr>
        <w:t xml:space="preserve"> и</w:t>
      </w:r>
      <w:r w:rsidR="00664914" w:rsidRPr="00664914">
        <w:rPr>
          <w:rFonts w:ascii="Times New Roman" w:hAnsi="Times New Roman" w:cs="Times New Roman"/>
          <w:sz w:val="28"/>
          <w:szCs w:val="28"/>
        </w:rPr>
        <w:t xml:space="preserve"> </w:t>
      </w:r>
      <w:r w:rsidR="00664914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64914" w:rsidRPr="00664914">
        <w:rPr>
          <w:rFonts w:ascii="Times New Roman" w:hAnsi="Times New Roman" w:cs="Times New Roman"/>
          <w:sz w:val="28"/>
          <w:szCs w:val="28"/>
        </w:rPr>
        <w:t xml:space="preserve">на </w:t>
      </w:r>
      <w:r w:rsidR="00664914">
        <w:rPr>
          <w:rFonts w:ascii="Times New Roman" w:hAnsi="Times New Roman" w:cs="Times New Roman"/>
          <w:sz w:val="28"/>
          <w:szCs w:val="28"/>
        </w:rPr>
        <w:t xml:space="preserve">сырьевую </w:t>
      </w:r>
      <w:r w:rsidR="00664914" w:rsidRPr="00664914">
        <w:rPr>
          <w:rFonts w:ascii="Times New Roman" w:hAnsi="Times New Roman" w:cs="Times New Roman"/>
          <w:sz w:val="28"/>
          <w:szCs w:val="28"/>
        </w:rPr>
        <w:lastRenderedPageBreak/>
        <w:t>продукци</w:t>
      </w:r>
      <w:r w:rsidR="00664914">
        <w:rPr>
          <w:rFonts w:ascii="Times New Roman" w:hAnsi="Times New Roman" w:cs="Times New Roman"/>
          <w:sz w:val="28"/>
          <w:szCs w:val="28"/>
        </w:rPr>
        <w:t>ю</w:t>
      </w:r>
      <w:r w:rsidR="00664914" w:rsidRPr="00664914">
        <w:rPr>
          <w:rFonts w:ascii="Times New Roman" w:hAnsi="Times New Roman" w:cs="Times New Roman"/>
          <w:sz w:val="28"/>
          <w:szCs w:val="28"/>
        </w:rPr>
        <w:t>, снижении рыночных цен на свинец (-$114/</w:t>
      </w:r>
      <w:proofErr w:type="spellStart"/>
      <w:r w:rsidR="00664914" w:rsidRPr="00664914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664914" w:rsidRPr="00664914">
        <w:rPr>
          <w:rFonts w:ascii="Times New Roman" w:hAnsi="Times New Roman" w:cs="Times New Roman"/>
          <w:sz w:val="28"/>
          <w:szCs w:val="28"/>
        </w:rPr>
        <w:t>), цинк (-$28/</w:t>
      </w:r>
      <w:proofErr w:type="spellStart"/>
      <w:r w:rsidR="00664914" w:rsidRPr="00664914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664914" w:rsidRPr="00664914">
        <w:rPr>
          <w:rFonts w:ascii="Times New Roman" w:hAnsi="Times New Roman" w:cs="Times New Roman"/>
          <w:sz w:val="28"/>
          <w:szCs w:val="28"/>
        </w:rPr>
        <w:t>) и золото (-$1,6/</w:t>
      </w:r>
      <w:proofErr w:type="spellStart"/>
      <w:r w:rsidR="00664914" w:rsidRPr="00664914">
        <w:rPr>
          <w:rFonts w:ascii="Times New Roman" w:hAnsi="Times New Roman" w:cs="Times New Roman"/>
          <w:sz w:val="28"/>
          <w:szCs w:val="28"/>
        </w:rPr>
        <w:t>унц</w:t>
      </w:r>
      <w:proofErr w:type="spellEnd"/>
      <w:r w:rsidR="00664914" w:rsidRPr="00664914">
        <w:rPr>
          <w:rFonts w:ascii="Times New Roman" w:hAnsi="Times New Roman" w:cs="Times New Roman"/>
          <w:sz w:val="28"/>
          <w:szCs w:val="28"/>
        </w:rPr>
        <w:t>.)</w:t>
      </w:r>
      <w:r w:rsidR="00B776A1">
        <w:rPr>
          <w:rFonts w:ascii="Times New Roman" w:hAnsi="Times New Roman" w:cs="Times New Roman"/>
          <w:sz w:val="28"/>
          <w:szCs w:val="28"/>
        </w:rPr>
        <w:t>;</w:t>
      </w:r>
      <w:r w:rsidR="00664914">
        <w:rPr>
          <w:rFonts w:ascii="Times New Roman" w:hAnsi="Times New Roman" w:cs="Times New Roman"/>
          <w:sz w:val="28"/>
          <w:szCs w:val="28"/>
        </w:rPr>
        <w:t xml:space="preserve"> </w:t>
      </w:r>
      <w:r w:rsidR="00B776A1">
        <w:rPr>
          <w:rFonts w:ascii="Times New Roman" w:hAnsi="Times New Roman" w:cs="Times New Roman"/>
          <w:sz w:val="28"/>
          <w:szCs w:val="28"/>
        </w:rPr>
        <w:t xml:space="preserve">(2) </w:t>
      </w:r>
      <w:r w:rsidR="00964A9F">
        <w:rPr>
          <w:rFonts w:ascii="Times New Roman" w:hAnsi="Times New Roman" w:cs="Times New Roman"/>
          <w:sz w:val="28"/>
          <w:szCs w:val="28"/>
        </w:rPr>
        <w:t>увеличением Операционного убытка (-</w:t>
      </w:r>
      <w:r w:rsidR="00664914">
        <w:rPr>
          <w:rFonts w:ascii="Times New Roman" w:hAnsi="Times New Roman" w:cs="Times New Roman"/>
          <w:sz w:val="28"/>
          <w:szCs w:val="28"/>
        </w:rPr>
        <w:t>1</w:t>
      </w:r>
      <w:r w:rsidR="00964A9F">
        <w:rPr>
          <w:rFonts w:ascii="Times New Roman" w:hAnsi="Times New Roman" w:cs="Times New Roman"/>
          <w:sz w:val="28"/>
          <w:szCs w:val="28"/>
        </w:rPr>
        <w:t>,</w:t>
      </w:r>
      <w:r w:rsidR="00664914">
        <w:rPr>
          <w:rFonts w:ascii="Times New Roman" w:hAnsi="Times New Roman" w:cs="Times New Roman"/>
          <w:sz w:val="28"/>
          <w:szCs w:val="28"/>
        </w:rPr>
        <w:t>2</w:t>
      </w:r>
      <w:r w:rsidR="00964A9F">
        <w:rPr>
          <w:rFonts w:ascii="Times New Roman" w:hAnsi="Times New Roman" w:cs="Times New Roman"/>
          <w:sz w:val="28"/>
          <w:szCs w:val="28"/>
        </w:rPr>
        <w:t xml:space="preserve"> млрд. тенге) и </w:t>
      </w:r>
      <w:r w:rsidR="00B776A1">
        <w:rPr>
          <w:rFonts w:ascii="Times New Roman" w:hAnsi="Times New Roman" w:cs="Times New Roman"/>
          <w:sz w:val="28"/>
          <w:szCs w:val="28"/>
        </w:rPr>
        <w:t>увеличением</w:t>
      </w:r>
      <w:r w:rsidR="00964A9F">
        <w:rPr>
          <w:rFonts w:ascii="Times New Roman" w:hAnsi="Times New Roman" w:cs="Times New Roman"/>
          <w:sz w:val="28"/>
          <w:szCs w:val="28"/>
        </w:rPr>
        <w:t xml:space="preserve"> прибыли от </w:t>
      </w:r>
      <w:proofErr w:type="spellStart"/>
      <w:r w:rsidR="00964A9F">
        <w:rPr>
          <w:rFonts w:ascii="Times New Roman" w:hAnsi="Times New Roman" w:cs="Times New Roman"/>
          <w:sz w:val="28"/>
          <w:szCs w:val="28"/>
        </w:rPr>
        <w:t>неоперационной</w:t>
      </w:r>
      <w:proofErr w:type="spellEnd"/>
      <w:r w:rsidR="00964A9F">
        <w:rPr>
          <w:rFonts w:ascii="Times New Roman" w:hAnsi="Times New Roman" w:cs="Times New Roman"/>
          <w:sz w:val="28"/>
          <w:szCs w:val="28"/>
        </w:rPr>
        <w:t xml:space="preserve"> деятельности (-</w:t>
      </w:r>
      <w:r w:rsidR="00B776A1">
        <w:rPr>
          <w:rFonts w:ascii="Times New Roman" w:hAnsi="Times New Roman" w:cs="Times New Roman"/>
          <w:sz w:val="28"/>
          <w:szCs w:val="28"/>
        </w:rPr>
        <w:t>0</w:t>
      </w:r>
      <w:r w:rsidR="00964A9F">
        <w:rPr>
          <w:rFonts w:ascii="Times New Roman" w:hAnsi="Times New Roman" w:cs="Times New Roman"/>
          <w:sz w:val="28"/>
          <w:szCs w:val="28"/>
        </w:rPr>
        <w:t>,</w:t>
      </w:r>
      <w:r w:rsidR="00B776A1">
        <w:rPr>
          <w:rFonts w:ascii="Times New Roman" w:hAnsi="Times New Roman" w:cs="Times New Roman"/>
          <w:sz w:val="28"/>
          <w:szCs w:val="28"/>
        </w:rPr>
        <w:t>2</w:t>
      </w:r>
      <w:r w:rsidR="00964A9F">
        <w:rPr>
          <w:rFonts w:ascii="Times New Roman" w:hAnsi="Times New Roman" w:cs="Times New Roman"/>
          <w:sz w:val="28"/>
          <w:szCs w:val="28"/>
        </w:rPr>
        <w:t xml:space="preserve"> млрд. тенге) за счет </w:t>
      </w:r>
      <w:r w:rsidR="00FE6DF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40352">
        <w:rPr>
          <w:rFonts w:ascii="Times New Roman" w:hAnsi="Times New Roman" w:cs="Times New Roman"/>
          <w:sz w:val="28"/>
          <w:szCs w:val="28"/>
        </w:rPr>
        <w:t>еопераци</w:t>
      </w:r>
      <w:r w:rsidR="00FE6DF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40352">
        <w:rPr>
          <w:rFonts w:ascii="Times New Roman" w:hAnsi="Times New Roman" w:cs="Times New Roman"/>
          <w:sz w:val="28"/>
          <w:szCs w:val="28"/>
        </w:rPr>
        <w:t>нных доходов и курсовой разницы</w:t>
      </w:r>
      <w:r w:rsidR="00664126">
        <w:rPr>
          <w:rFonts w:ascii="Times New Roman" w:hAnsi="Times New Roman" w:cs="Times New Roman"/>
          <w:sz w:val="28"/>
          <w:szCs w:val="28"/>
        </w:rPr>
        <w:t>.</w:t>
      </w:r>
    </w:p>
    <w:p w:rsidR="00B776A1" w:rsidRDefault="00B776A1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BFE" w:rsidRPr="00D30D45" w:rsidRDefault="00A06CE0" w:rsidP="001A36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3DE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F54BFE" w:rsidRPr="009E73DE">
        <w:rPr>
          <w:rFonts w:ascii="Times New Roman" w:hAnsi="Times New Roman" w:cs="Times New Roman"/>
          <w:b/>
          <w:sz w:val="28"/>
          <w:szCs w:val="28"/>
        </w:rPr>
        <w:t xml:space="preserve"> о показателях достаточности капитала</w:t>
      </w:r>
    </w:p>
    <w:p w:rsidR="00D30D45" w:rsidRPr="00D30D45" w:rsidRDefault="00D30D45" w:rsidP="00D30D4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D45" w:rsidRPr="00901956" w:rsidRDefault="00C54D2F" w:rsidP="00D30D4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9CBC5DF" wp14:editId="01C4A289">
            <wp:extent cx="6152515" cy="3004185"/>
            <wp:effectExtent l="0" t="0" r="19685" b="247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2B05" w:rsidRPr="009A2B05" w:rsidRDefault="009A2B05" w:rsidP="009F70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7026" w:rsidRPr="00581DE9" w:rsidRDefault="009F7026" w:rsidP="009F70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DE9">
        <w:rPr>
          <w:rFonts w:ascii="Times New Roman" w:hAnsi="Times New Roman" w:cs="Times New Roman"/>
          <w:b/>
          <w:sz w:val="28"/>
          <w:szCs w:val="28"/>
        </w:rPr>
        <w:t>Собственный капитал</w:t>
      </w:r>
      <w:r w:rsidRPr="00581DE9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683CE1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581DE9">
        <w:rPr>
          <w:rFonts w:ascii="Times New Roman" w:hAnsi="Times New Roman" w:cs="Times New Roman"/>
          <w:sz w:val="28"/>
          <w:szCs w:val="28"/>
        </w:rPr>
        <w:t xml:space="preserve">на </w:t>
      </w:r>
      <w:r w:rsidR="005773FE" w:rsidRPr="005773FE">
        <w:rPr>
          <w:rFonts w:ascii="Times New Roman" w:hAnsi="Times New Roman" w:cs="Times New Roman"/>
          <w:sz w:val="28"/>
          <w:szCs w:val="28"/>
        </w:rPr>
        <w:t xml:space="preserve">31 </w:t>
      </w:r>
      <w:r w:rsidR="005773FE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="00683CE1">
        <w:rPr>
          <w:rFonts w:ascii="Times New Roman" w:hAnsi="Times New Roman" w:cs="Times New Roman"/>
          <w:sz w:val="28"/>
          <w:szCs w:val="28"/>
        </w:rPr>
        <w:t xml:space="preserve"> </w:t>
      </w:r>
      <w:r w:rsidRPr="00581DE9">
        <w:rPr>
          <w:rFonts w:ascii="Times New Roman" w:hAnsi="Times New Roman" w:cs="Times New Roman"/>
          <w:sz w:val="28"/>
          <w:szCs w:val="28"/>
        </w:rPr>
        <w:t>201</w:t>
      </w:r>
      <w:r w:rsidR="00683CE1">
        <w:rPr>
          <w:rFonts w:ascii="Times New Roman" w:hAnsi="Times New Roman" w:cs="Times New Roman"/>
          <w:sz w:val="28"/>
          <w:szCs w:val="28"/>
        </w:rPr>
        <w:t>8</w:t>
      </w:r>
      <w:r w:rsidRPr="00581DE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773F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776A1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115A72">
        <w:rPr>
          <w:rFonts w:ascii="Times New Roman" w:hAnsi="Times New Roman" w:cs="Times New Roman"/>
          <w:sz w:val="28"/>
          <w:szCs w:val="28"/>
        </w:rPr>
        <w:t xml:space="preserve"> </w:t>
      </w:r>
      <w:r w:rsidRPr="00581DE9">
        <w:rPr>
          <w:rFonts w:ascii="Times New Roman" w:hAnsi="Times New Roman" w:cs="Times New Roman"/>
          <w:sz w:val="28"/>
          <w:szCs w:val="28"/>
        </w:rPr>
        <w:t>мл</w:t>
      </w:r>
      <w:r w:rsidR="00D50427">
        <w:rPr>
          <w:rFonts w:ascii="Times New Roman" w:hAnsi="Times New Roman" w:cs="Times New Roman"/>
          <w:sz w:val="28"/>
          <w:szCs w:val="28"/>
        </w:rPr>
        <w:t>рд</w:t>
      </w:r>
      <w:r w:rsidRPr="00581DE9">
        <w:rPr>
          <w:rFonts w:ascii="Times New Roman" w:hAnsi="Times New Roman" w:cs="Times New Roman"/>
          <w:sz w:val="28"/>
          <w:szCs w:val="28"/>
        </w:rPr>
        <w:t xml:space="preserve">. тенге. </w:t>
      </w:r>
      <w:r w:rsidR="005773FE">
        <w:rPr>
          <w:rFonts w:ascii="Times New Roman" w:hAnsi="Times New Roman" w:cs="Times New Roman"/>
          <w:sz w:val="28"/>
          <w:szCs w:val="28"/>
          <w:lang w:val="kk-KZ"/>
        </w:rPr>
        <w:t>Увеличение</w:t>
      </w:r>
      <w:r w:rsidR="00683CE1"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Pr="00581DE9">
        <w:rPr>
          <w:rFonts w:ascii="Times New Roman" w:hAnsi="Times New Roman" w:cs="Times New Roman"/>
          <w:sz w:val="28"/>
          <w:szCs w:val="28"/>
        </w:rPr>
        <w:t xml:space="preserve">собственного капитала на </w:t>
      </w:r>
      <w:r w:rsidR="005773FE">
        <w:rPr>
          <w:rFonts w:ascii="Times New Roman" w:hAnsi="Times New Roman" w:cs="Times New Roman"/>
          <w:sz w:val="28"/>
          <w:szCs w:val="28"/>
          <w:lang w:val="kk-KZ"/>
        </w:rPr>
        <w:t>38</w:t>
      </w:r>
      <w:r w:rsidR="00683CE1">
        <w:rPr>
          <w:rFonts w:ascii="Times New Roman" w:hAnsi="Times New Roman" w:cs="Times New Roman"/>
          <w:sz w:val="28"/>
          <w:szCs w:val="28"/>
        </w:rPr>
        <w:t xml:space="preserve"> </w:t>
      </w:r>
      <w:r w:rsidR="005224DF" w:rsidRPr="00581DE9">
        <w:rPr>
          <w:rFonts w:ascii="Times New Roman" w:hAnsi="Times New Roman" w:cs="Times New Roman"/>
          <w:sz w:val="28"/>
          <w:szCs w:val="28"/>
        </w:rPr>
        <w:t>мл</w:t>
      </w:r>
      <w:r w:rsidR="00D50427">
        <w:rPr>
          <w:rFonts w:ascii="Times New Roman" w:hAnsi="Times New Roman" w:cs="Times New Roman"/>
          <w:sz w:val="28"/>
          <w:szCs w:val="28"/>
        </w:rPr>
        <w:t>рд</w:t>
      </w:r>
      <w:r w:rsidR="005224DF" w:rsidRPr="00581DE9">
        <w:rPr>
          <w:rFonts w:ascii="Times New Roman" w:hAnsi="Times New Roman" w:cs="Times New Roman"/>
          <w:sz w:val="28"/>
          <w:szCs w:val="28"/>
        </w:rPr>
        <w:t>. тенге</w:t>
      </w:r>
      <w:r w:rsidR="00683CE1">
        <w:rPr>
          <w:rFonts w:ascii="Times New Roman" w:hAnsi="Times New Roman" w:cs="Times New Roman"/>
          <w:sz w:val="28"/>
          <w:szCs w:val="28"/>
        </w:rPr>
        <w:t xml:space="preserve">, в сравнении с размером собственного капитала </w:t>
      </w:r>
      <w:r w:rsidR="00BB7676">
        <w:rPr>
          <w:rFonts w:ascii="Times New Roman" w:hAnsi="Times New Roman" w:cs="Times New Roman"/>
          <w:sz w:val="28"/>
          <w:szCs w:val="28"/>
        </w:rPr>
        <w:t>аналогичного периода прошлого года</w:t>
      </w:r>
      <w:r w:rsidR="00683CE1">
        <w:rPr>
          <w:rFonts w:ascii="Times New Roman" w:hAnsi="Times New Roman" w:cs="Times New Roman"/>
          <w:sz w:val="28"/>
          <w:szCs w:val="28"/>
        </w:rPr>
        <w:t>,</w:t>
      </w:r>
      <w:r w:rsidR="005224DF" w:rsidRPr="00581DE9">
        <w:rPr>
          <w:rFonts w:ascii="Times New Roman" w:hAnsi="Times New Roman" w:cs="Times New Roman"/>
          <w:sz w:val="28"/>
          <w:szCs w:val="28"/>
        </w:rPr>
        <w:t xml:space="preserve"> </w:t>
      </w:r>
      <w:r w:rsidRPr="00581DE9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181D18" w:rsidRPr="00581DE9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581DE9">
        <w:rPr>
          <w:rFonts w:ascii="Times New Roman" w:hAnsi="Times New Roman" w:cs="Times New Roman"/>
          <w:sz w:val="28"/>
          <w:szCs w:val="28"/>
        </w:rPr>
        <w:t>следующими факторами:</w:t>
      </w:r>
    </w:p>
    <w:p w:rsidR="00A7047A" w:rsidRPr="00A7047A" w:rsidRDefault="00A7047A" w:rsidP="00A7047A">
      <w:pPr>
        <w:pStyle w:val="a5"/>
        <w:spacing w:before="240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:rsidR="00BB7676" w:rsidRDefault="00165461" w:rsidP="00A7047A">
      <w:pPr>
        <w:pStyle w:val="a5"/>
        <w:numPr>
          <w:ilvl w:val="0"/>
          <w:numId w:val="29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2433">
        <w:rPr>
          <w:rFonts w:ascii="Times New Roman" w:hAnsi="Times New Roman" w:cs="Times New Roman"/>
          <w:sz w:val="28"/>
          <w:szCs w:val="28"/>
        </w:rPr>
        <w:t>увеличением</w:t>
      </w:r>
      <w:r w:rsidR="00683CE1" w:rsidRPr="00F72433">
        <w:rPr>
          <w:rFonts w:ascii="Times New Roman" w:hAnsi="Times New Roman" w:cs="Times New Roman"/>
          <w:sz w:val="28"/>
          <w:szCs w:val="28"/>
        </w:rPr>
        <w:t xml:space="preserve"> прочих компонентов капитала на сумму </w:t>
      </w:r>
      <w:r w:rsidR="00BB7676">
        <w:rPr>
          <w:rFonts w:ascii="Times New Roman" w:hAnsi="Times New Roman" w:cs="Times New Roman"/>
          <w:sz w:val="28"/>
          <w:szCs w:val="28"/>
        </w:rPr>
        <w:t>61,1</w:t>
      </w:r>
      <w:r w:rsidR="00683CE1" w:rsidRPr="00F72433">
        <w:rPr>
          <w:rFonts w:ascii="Times New Roman" w:hAnsi="Times New Roman" w:cs="Times New Roman"/>
          <w:sz w:val="28"/>
          <w:szCs w:val="28"/>
        </w:rPr>
        <w:t xml:space="preserve"> млрд. тенге, по причине пересчета </w:t>
      </w:r>
      <w:r w:rsidRPr="00F72433">
        <w:rPr>
          <w:rFonts w:ascii="Times New Roman" w:hAnsi="Times New Roman" w:cs="Times New Roman"/>
          <w:sz w:val="28"/>
          <w:szCs w:val="28"/>
        </w:rPr>
        <w:t>валюты отчетности ТОО «</w:t>
      </w:r>
      <w:proofErr w:type="spellStart"/>
      <w:r w:rsidRPr="00F72433">
        <w:rPr>
          <w:rFonts w:ascii="Times New Roman" w:hAnsi="Times New Roman" w:cs="Times New Roman"/>
          <w:sz w:val="28"/>
          <w:szCs w:val="28"/>
        </w:rPr>
        <w:t>Казцинк</w:t>
      </w:r>
      <w:proofErr w:type="spellEnd"/>
      <w:r w:rsidRPr="00F72433">
        <w:rPr>
          <w:rFonts w:ascii="Times New Roman" w:hAnsi="Times New Roman" w:cs="Times New Roman"/>
          <w:sz w:val="28"/>
          <w:szCs w:val="28"/>
        </w:rPr>
        <w:t>»</w:t>
      </w:r>
      <w:r w:rsidR="00BB7676">
        <w:rPr>
          <w:rFonts w:ascii="Times New Roman" w:hAnsi="Times New Roman" w:cs="Times New Roman"/>
          <w:sz w:val="28"/>
          <w:szCs w:val="28"/>
        </w:rPr>
        <w:t>;</w:t>
      </w:r>
    </w:p>
    <w:p w:rsidR="001958EE" w:rsidRPr="00F72433" w:rsidRDefault="00BB7676" w:rsidP="00A7047A">
      <w:pPr>
        <w:pStyle w:val="a5"/>
        <w:numPr>
          <w:ilvl w:val="0"/>
          <w:numId w:val="29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2433">
        <w:rPr>
          <w:rFonts w:ascii="Times New Roman" w:hAnsi="Times New Roman" w:cs="Times New Roman"/>
          <w:sz w:val="28"/>
          <w:szCs w:val="28"/>
        </w:rPr>
        <w:t>выплатой дивидендов в пользу АО «</w:t>
      </w:r>
      <w:proofErr w:type="spellStart"/>
      <w:r w:rsidRPr="00F72433">
        <w:rPr>
          <w:rFonts w:ascii="Times New Roman" w:hAnsi="Times New Roman" w:cs="Times New Roman"/>
          <w:sz w:val="28"/>
          <w:szCs w:val="28"/>
        </w:rPr>
        <w:t>Самрук-Казына</w:t>
      </w:r>
      <w:proofErr w:type="spellEnd"/>
      <w:r w:rsidRPr="00F72433">
        <w:rPr>
          <w:rFonts w:ascii="Times New Roman" w:hAnsi="Times New Roman" w:cs="Times New Roman"/>
          <w:sz w:val="28"/>
          <w:szCs w:val="28"/>
        </w:rPr>
        <w:t xml:space="preserve">» в размере </w:t>
      </w:r>
      <w:r>
        <w:rPr>
          <w:rFonts w:ascii="Times New Roman" w:hAnsi="Times New Roman" w:cs="Times New Roman"/>
          <w:sz w:val="28"/>
          <w:szCs w:val="28"/>
        </w:rPr>
        <w:t>56,4</w:t>
      </w:r>
      <w:r w:rsidRPr="00F72433">
        <w:rPr>
          <w:rFonts w:ascii="Times New Roman" w:hAnsi="Times New Roman" w:cs="Times New Roman"/>
          <w:sz w:val="28"/>
          <w:szCs w:val="28"/>
        </w:rPr>
        <w:t> млрд. тенге по итогам 2017 года</w:t>
      </w:r>
      <w:r w:rsidR="00165461" w:rsidRPr="00F72433">
        <w:rPr>
          <w:rFonts w:ascii="Times New Roman" w:hAnsi="Times New Roman" w:cs="Times New Roman"/>
          <w:sz w:val="28"/>
          <w:szCs w:val="28"/>
        </w:rPr>
        <w:t>.</w:t>
      </w:r>
    </w:p>
    <w:p w:rsidR="00165461" w:rsidRPr="00165461" w:rsidRDefault="00165461" w:rsidP="00165461">
      <w:pPr>
        <w:pStyle w:val="a5"/>
        <w:spacing w:before="24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7087E" w:rsidRPr="00BD7719" w:rsidRDefault="00B7087E" w:rsidP="00B7087E">
      <w:pPr>
        <w:pStyle w:val="a5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:rsidR="00662E60" w:rsidRPr="009E73DE" w:rsidRDefault="00A6767A" w:rsidP="00A6767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3D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662E60" w:rsidRPr="009E73DE">
        <w:rPr>
          <w:rFonts w:ascii="Times New Roman" w:hAnsi="Times New Roman" w:cs="Times New Roman"/>
          <w:b/>
          <w:sz w:val="28"/>
          <w:szCs w:val="28"/>
        </w:rPr>
        <w:t xml:space="preserve"> о показателях ликвидности</w:t>
      </w:r>
    </w:p>
    <w:p w:rsidR="00662E60" w:rsidRPr="00BD7719" w:rsidRDefault="00662E60" w:rsidP="00712A27">
      <w:pPr>
        <w:pStyle w:val="a5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6B4212" w:rsidRPr="00666166" w:rsidRDefault="00DC272D" w:rsidP="006B42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3DE">
        <w:rPr>
          <w:rFonts w:ascii="Times New Roman" w:hAnsi="Times New Roman" w:cs="Times New Roman"/>
          <w:sz w:val="28"/>
          <w:szCs w:val="28"/>
        </w:rPr>
        <w:tab/>
      </w:r>
      <w:r w:rsidR="006B4212" w:rsidRPr="0066616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34499" w:rsidRPr="00666166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5F657A" w:rsidRPr="00666166">
        <w:rPr>
          <w:rFonts w:ascii="Times New Roman" w:hAnsi="Times New Roman" w:cs="Times New Roman"/>
          <w:sz w:val="28"/>
          <w:szCs w:val="28"/>
        </w:rPr>
        <w:t xml:space="preserve"> </w:t>
      </w:r>
      <w:r w:rsidR="006E5119" w:rsidRPr="00666166">
        <w:rPr>
          <w:rFonts w:ascii="Times New Roman" w:hAnsi="Times New Roman" w:cs="Times New Roman"/>
          <w:sz w:val="28"/>
          <w:szCs w:val="28"/>
        </w:rPr>
        <w:t>месяцев</w:t>
      </w:r>
      <w:r w:rsidR="005F657A" w:rsidRPr="00666166">
        <w:rPr>
          <w:rFonts w:ascii="Times New Roman" w:hAnsi="Times New Roman" w:cs="Times New Roman"/>
          <w:sz w:val="28"/>
          <w:szCs w:val="28"/>
        </w:rPr>
        <w:t xml:space="preserve"> 2018</w:t>
      </w:r>
      <w:r w:rsidR="006B4212" w:rsidRPr="00666166">
        <w:rPr>
          <w:rFonts w:ascii="Times New Roman" w:hAnsi="Times New Roman" w:cs="Times New Roman"/>
          <w:sz w:val="28"/>
          <w:szCs w:val="28"/>
        </w:rPr>
        <w:t xml:space="preserve"> года показатель финансовой зависимости составляет </w:t>
      </w:r>
      <w:r w:rsidR="00EC619F" w:rsidRPr="00666166">
        <w:rPr>
          <w:rFonts w:ascii="Times New Roman" w:hAnsi="Times New Roman" w:cs="Times New Roman"/>
          <w:sz w:val="28"/>
          <w:szCs w:val="28"/>
        </w:rPr>
        <w:t>0,0</w:t>
      </w:r>
      <w:r w:rsidR="00666166" w:rsidRPr="00666166">
        <w:rPr>
          <w:rFonts w:ascii="Times New Roman" w:hAnsi="Times New Roman" w:cs="Times New Roman"/>
          <w:sz w:val="28"/>
          <w:szCs w:val="28"/>
        </w:rPr>
        <w:t>5</w:t>
      </w:r>
      <w:r w:rsidR="006B4212" w:rsidRPr="00666166">
        <w:rPr>
          <w:rFonts w:ascii="Times New Roman" w:hAnsi="Times New Roman" w:cs="Times New Roman"/>
          <w:sz w:val="28"/>
          <w:szCs w:val="28"/>
        </w:rPr>
        <w:t xml:space="preserve">, концентрация собственного капитала </w:t>
      </w:r>
      <w:r w:rsidR="00EC619F" w:rsidRPr="00666166">
        <w:rPr>
          <w:rFonts w:ascii="Times New Roman" w:hAnsi="Times New Roman" w:cs="Times New Roman"/>
          <w:sz w:val="28"/>
          <w:szCs w:val="28"/>
        </w:rPr>
        <w:t>составляет 0,</w:t>
      </w:r>
      <w:r w:rsidR="005F657A" w:rsidRPr="00666166">
        <w:rPr>
          <w:rFonts w:ascii="Times New Roman" w:hAnsi="Times New Roman" w:cs="Times New Roman"/>
          <w:sz w:val="28"/>
          <w:szCs w:val="28"/>
        </w:rPr>
        <w:t>9</w:t>
      </w:r>
      <w:r w:rsidR="00666166" w:rsidRPr="00666166">
        <w:rPr>
          <w:rFonts w:ascii="Times New Roman" w:hAnsi="Times New Roman" w:cs="Times New Roman"/>
          <w:sz w:val="28"/>
          <w:szCs w:val="28"/>
        </w:rPr>
        <w:t>5</w:t>
      </w:r>
      <w:r w:rsidR="006B4212" w:rsidRPr="00666166">
        <w:rPr>
          <w:rFonts w:ascii="Times New Roman" w:hAnsi="Times New Roman" w:cs="Times New Roman"/>
          <w:sz w:val="28"/>
          <w:szCs w:val="28"/>
        </w:rPr>
        <w:t>, что характеризу</w:t>
      </w:r>
      <w:r w:rsidR="00D71F05" w:rsidRPr="00666166">
        <w:rPr>
          <w:rFonts w:ascii="Times New Roman" w:hAnsi="Times New Roman" w:cs="Times New Roman"/>
          <w:sz w:val="28"/>
          <w:szCs w:val="28"/>
        </w:rPr>
        <w:t>е</w:t>
      </w:r>
      <w:r w:rsidR="006B4212" w:rsidRPr="00666166">
        <w:rPr>
          <w:rFonts w:ascii="Times New Roman" w:hAnsi="Times New Roman" w:cs="Times New Roman"/>
          <w:sz w:val="28"/>
          <w:szCs w:val="28"/>
        </w:rPr>
        <w:t>т текущее финансовое состояние Компании</w:t>
      </w:r>
      <w:r w:rsidR="00D71F05" w:rsidRPr="00666166">
        <w:rPr>
          <w:rFonts w:ascii="Times New Roman" w:hAnsi="Times New Roman" w:cs="Times New Roman"/>
          <w:sz w:val="28"/>
          <w:szCs w:val="28"/>
        </w:rPr>
        <w:t>,</w:t>
      </w:r>
      <w:r w:rsidR="006B4212" w:rsidRPr="00666166">
        <w:rPr>
          <w:rFonts w:ascii="Times New Roman" w:hAnsi="Times New Roman" w:cs="Times New Roman"/>
          <w:sz w:val="28"/>
          <w:szCs w:val="28"/>
        </w:rPr>
        <w:t xml:space="preserve"> как стабильное и независимое от внешних кредиторов.</w:t>
      </w:r>
    </w:p>
    <w:p w:rsidR="008E3B10" w:rsidRDefault="006B4212" w:rsidP="00C17B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6166">
        <w:rPr>
          <w:rFonts w:ascii="Times New Roman" w:hAnsi="Times New Roman" w:cs="Times New Roman"/>
          <w:sz w:val="28"/>
          <w:szCs w:val="28"/>
        </w:rPr>
        <w:tab/>
        <w:t xml:space="preserve">Показатель коэффициента текущей ликвидности составляет </w:t>
      </w:r>
      <w:r w:rsidR="00666166" w:rsidRPr="00666166">
        <w:rPr>
          <w:rFonts w:ascii="Times New Roman" w:hAnsi="Times New Roman" w:cs="Times New Roman"/>
          <w:sz w:val="28"/>
          <w:szCs w:val="28"/>
        </w:rPr>
        <w:t>3,08</w:t>
      </w:r>
      <w:r w:rsidRPr="00666166">
        <w:rPr>
          <w:rFonts w:ascii="Times New Roman" w:hAnsi="Times New Roman" w:cs="Times New Roman"/>
          <w:sz w:val="28"/>
          <w:szCs w:val="28"/>
        </w:rPr>
        <w:t xml:space="preserve"> что положительно характеризу</w:t>
      </w:r>
      <w:r w:rsidR="00E31979" w:rsidRPr="00666166">
        <w:rPr>
          <w:rFonts w:ascii="Times New Roman" w:hAnsi="Times New Roman" w:cs="Times New Roman"/>
          <w:sz w:val="28"/>
          <w:szCs w:val="28"/>
        </w:rPr>
        <w:t>е</w:t>
      </w:r>
      <w:r w:rsidRPr="00666166">
        <w:rPr>
          <w:rFonts w:ascii="Times New Roman" w:hAnsi="Times New Roman" w:cs="Times New Roman"/>
          <w:sz w:val="28"/>
          <w:szCs w:val="28"/>
        </w:rPr>
        <w:t>т текущее финансовое состояние Общества, вследствие достаточного объема свободных ресурсов перед текущими обязательствами.</w:t>
      </w:r>
    </w:p>
    <w:p w:rsidR="008E3B10" w:rsidRDefault="008E3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39AD" w:rsidRDefault="00CA0723" w:rsidP="00CA072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3DE">
        <w:rPr>
          <w:rFonts w:ascii="Times New Roman" w:hAnsi="Times New Roman" w:cs="Times New Roman"/>
          <w:b/>
          <w:sz w:val="28"/>
          <w:szCs w:val="28"/>
        </w:rPr>
        <w:lastRenderedPageBreak/>
        <w:t>Подробный прогноз доходов</w:t>
      </w:r>
      <w:r w:rsidR="0050626A" w:rsidRPr="009E73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</w:t>
      </w:r>
      <w:r w:rsidR="0050626A" w:rsidRPr="009E73DE">
        <w:rPr>
          <w:rFonts w:ascii="Times New Roman" w:hAnsi="Times New Roman" w:cs="Times New Roman"/>
          <w:b/>
          <w:sz w:val="28"/>
          <w:szCs w:val="28"/>
        </w:rPr>
        <w:t>расходов</w:t>
      </w:r>
    </w:p>
    <w:p w:rsidR="00DD02B5" w:rsidRDefault="00DD02B5" w:rsidP="00DD02B5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CA0" w:rsidRPr="00B83CA0" w:rsidRDefault="00B83CA0" w:rsidP="00C40C7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D2759" w:rsidRPr="00C40C74" w:rsidRDefault="009D2759" w:rsidP="00C40C7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74">
        <w:rPr>
          <w:rFonts w:ascii="Times New Roman" w:hAnsi="Times New Roman" w:cs="Times New Roman"/>
          <w:b/>
          <w:sz w:val="28"/>
          <w:szCs w:val="28"/>
        </w:rPr>
        <w:t>Общие доходы и расходы, в мл</w:t>
      </w:r>
      <w:r w:rsidR="00E40CF0">
        <w:rPr>
          <w:rFonts w:ascii="Times New Roman" w:hAnsi="Times New Roman" w:cs="Times New Roman"/>
          <w:b/>
          <w:sz w:val="28"/>
          <w:szCs w:val="28"/>
        </w:rPr>
        <w:t>рд</w:t>
      </w:r>
      <w:r w:rsidRPr="00C40C74">
        <w:rPr>
          <w:rFonts w:ascii="Times New Roman" w:hAnsi="Times New Roman" w:cs="Times New Roman"/>
          <w:b/>
          <w:sz w:val="28"/>
          <w:szCs w:val="28"/>
        </w:rPr>
        <w:t>. тенге</w:t>
      </w:r>
    </w:p>
    <w:p w:rsidR="00B114B9" w:rsidRPr="009D2759" w:rsidRDefault="00B114B9" w:rsidP="00A8643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F243E" w:themeColor="text2" w:themeShade="80"/>
          <w:sz w:val="6"/>
          <w:szCs w:val="6"/>
        </w:rPr>
      </w:pPr>
    </w:p>
    <w:p w:rsidR="00CA0723" w:rsidRPr="009E73DE" w:rsidRDefault="00C40C74" w:rsidP="00C40C7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6"/>
          <w:szCs w:val="6"/>
        </w:rPr>
        <w:t>3</w:t>
      </w:r>
    </w:p>
    <w:p w:rsidR="00ED7155" w:rsidRDefault="00E76F82" w:rsidP="000903C7">
      <w:pPr>
        <w:pStyle w:val="Default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C299832" wp14:editId="2DF49AAD">
            <wp:extent cx="6152515" cy="2399665"/>
            <wp:effectExtent l="0" t="0" r="19685" b="1968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7155" w:rsidRDefault="00ED7155" w:rsidP="000903C7">
      <w:pPr>
        <w:pStyle w:val="Default"/>
        <w:jc w:val="both"/>
        <w:rPr>
          <w:sz w:val="28"/>
          <w:szCs w:val="28"/>
        </w:rPr>
      </w:pPr>
    </w:p>
    <w:p w:rsidR="00A15C79" w:rsidRPr="00932FEB" w:rsidRDefault="001854BF" w:rsidP="00ED715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932FEB">
        <w:rPr>
          <w:sz w:val="28"/>
          <w:szCs w:val="28"/>
        </w:rPr>
        <w:t xml:space="preserve">Общие доходы </w:t>
      </w:r>
      <w:r w:rsidR="00A15C79" w:rsidRPr="00932FEB">
        <w:rPr>
          <w:sz w:val="28"/>
          <w:szCs w:val="28"/>
        </w:rPr>
        <w:t xml:space="preserve">в размере </w:t>
      </w:r>
      <w:r w:rsidR="00E76F82" w:rsidRPr="00E76F82">
        <w:rPr>
          <w:sz w:val="28"/>
          <w:szCs w:val="28"/>
        </w:rPr>
        <w:t>273</w:t>
      </w:r>
      <w:r w:rsidR="00D23187" w:rsidRPr="00932FEB">
        <w:rPr>
          <w:sz w:val="28"/>
          <w:szCs w:val="28"/>
        </w:rPr>
        <w:t xml:space="preserve"> </w:t>
      </w:r>
      <w:r w:rsidR="00A15C79" w:rsidRPr="00932FEB">
        <w:rPr>
          <w:sz w:val="28"/>
          <w:szCs w:val="28"/>
        </w:rPr>
        <w:t>мл</w:t>
      </w:r>
      <w:r w:rsidR="00E40CF0">
        <w:rPr>
          <w:sz w:val="28"/>
          <w:szCs w:val="28"/>
        </w:rPr>
        <w:t>рд</w:t>
      </w:r>
      <w:r w:rsidR="00A15C79" w:rsidRPr="00932FEB">
        <w:rPr>
          <w:sz w:val="28"/>
          <w:szCs w:val="28"/>
        </w:rPr>
        <w:t xml:space="preserve">. тенге </w:t>
      </w:r>
      <w:r w:rsidR="00027422">
        <w:rPr>
          <w:sz w:val="28"/>
          <w:szCs w:val="28"/>
        </w:rPr>
        <w:t xml:space="preserve">за </w:t>
      </w:r>
      <w:r w:rsidR="00443BFC">
        <w:rPr>
          <w:sz w:val="28"/>
          <w:szCs w:val="28"/>
        </w:rPr>
        <w:t>12</w:t>
      </w:r>
      <w:r w:rsidR="00027422">
        <w:rPr>
          <w:sz w:val="28"/>
          <w:szCs w:val="28"/>
        </w:rPr>
        <w:t xml:space="preserve"> </w:t>
      </w:r>
      <w:r w:rsidR="00AB2253">
        <w:rPr>
          <w:sz w:val="28"/>
          <w:szCs w:val="28"/>
        </w:rPr>
        <w:t>месяцев</w:t>
      </w:r>
      <w:r w:rsidR="00027422">
        <w:rPr>
          <w:sz w:val="28"/>
          <w:szCs w:val="28"/>
        </w:rPr>
        <w:t xml:space="preserve"> 2018 года</w:t>
      </w:r>
      <w:r w:rsidR="00E40CF0">
        <w:rPr>
          <w:sz w:val="28"/>
          <w:szCs w:val="28"/>
        </w:rPr>
        <w:t xml:space="preserve"> </w:t>
      </w:r>
      <w:r w:rsidR="00A15C79" w:rsidRPr="00932FEB">
        <w:rPr>
          <w:sz w:val="28"/>
          <w:szCs w:val="28"/>
        </w:rPr>
        <w:t>сформированы</w:t>
      </w:r>
      <w:r w:rsidR="00B83CA0">
        <w:rPr>
          <w:sz w:val="28"/>
          <w:szCs w:val="28"/>
        </w:rPr>
        <w:t>,</w:t>
      </w:r>
      <w:r w:rsidR="004F38BB">
        <w:rPr>
          <w:sz w:val="28"/>
          <w:szCs w:val="28"/>
        </w:rPr>
        <w:t xml:space="preserve"> в основном</w:t>
      </w:r>
      <w:r w:rsidR="00B83CA0">
        <w:rPr>
          <w:sz w:val="28"/>
          <w:szCs w:val="28"/>
        </w:rPr>
        <w:t>,</w:t>
      </w:r>
      <w:r w:rsidR="00A15C79" w:rsidRPr="00932FEB">
        <w:rPr>
          <w:sz w:val="28"/>
          <w:szCs w:val="28"/>
        </w:rPr>
        <w:t xml:space="preserve"> </w:t>
      </w:r>
      <w:r w:rsidR="00E40CF0">
        <w:rPr>
          <w:sz w:val="28"/>
          <w:szCs w:val="28"/>
        </w:rPr>
        <w:t>доходами</w:t>
      </w:r>
      <w:r w:rsidR="00A15C79" w:rsidRPr="00932FEB">
        <w:rPr>
          <w:sz w:val="28"/>
          <w:szCs w:val="28"/>
        </w:rPr>
        <w:t xml:space="preserve"> от реализации аффинированного золота в размере </w:t>
      </w:r>
      <w:r w:rsidR="004E1D00" w:rsidRPr="00282AFB">
        <w:rPr>
          <w:sz w:val="28"/>
          <w:szCs w:val="28"/>
        </w:rPr>
        <w:t>257</w:t>
      </w:r>
      <w:r w:rsidR="004E1D00" w:rsidRPr="00282AFB">
        <w:rPr>
          <w:sz w:val="28"/>
          <w:szCs w:val="28"/>
          <w:lang w:val="kk-KZ"/>
        </w:rPr>
        <w:t>,</w:t>
      </w:r>
      <w:r w:rsidR="004E1D00" w:rsidRPr="00282AFB">
        <w:rPr>
          <w:sz w:val="28"/>
          <w:szCs w:val="28"/>
        </w:rPr>
        <w:t>5</w:t>
      </w:r>
      <w:r w:rsidR="00027422" w:rsidRPr="00282AFB">
        <w:rPr>
          <w:sz w:val="28"/>
          <w:szCs w:val="28"/>
        </w:rPr>
        <w:t xml:space="preserve"> </w:t>
      </w:r>
      <w:r w:rsidR="00A15C79" w:rsidRPr="00282AFB">
        <w:rPr>
          <w:sz w:val="28"/>
          <w:szCs w:val="28"/>
        </w:rPr>
        <w:t>мл</w:t>
      </w:r>
      <w:r w:rsidR="00E40CF0" w:rsidRPr="00282AFB">
        <w:rPr>
          <w:sz w:val="28"/>
          <w:szCs w:val="28"/>
        </w:rPr>
        <w:t>рд</w:t>
      </w:r>
      <w:r w:rsidR="00A15C79" w:rsidRPr="00282AFB">
        <w:rPr>
          <w:sz w:val="28"/>
          <w:szCs w:val="28"/>
        </w:rPr>
        <w:t xml:space="preserve">. тенге, за счет реализации </w:t>
      </w:r>
      <w:r w:rsidR="00D73721">
        <w:rPr>
          <w:sz w:val="28"/>
          <w:szCs w:val="28"/>
        </w:rPr>
        <w:t xml:space="preserve">аффинированного </w:t>
      </w:r>
      <w:r w:rsidR="00A15C79" w:rsidRPr="00282AFB">
        <w:rPr>
          <w:sz w:val="28"/>
          <w:szCs w:val="28"/>
        </w:rPr>
        <w:t>золота Национально</w:t>
      </w:r>
      <w:r w:rsidR="00A86432" w:rsidRPr="00282AFB">
        <w:rPr>
          <w:sz w:val="28"/>
          <w:szCs w:val="28"/>
        </w:rPr>
        <w:t>му Банку Республики Казахстана</w:t>
      </w:r>
      <w:r w:rsidR="00D73721">
        <w:rPr>
          <w:sz w:val="28"/>
          <w:szCs w:val="28"/>
        </w:rPr>
        <w:t xml:space="preserve"> и реализации</w:t>
      </w:r>
      <w:r w:rsidR="00A15C79" w:rsidRPr="00282AFB">
        <w:rPr>
          <w:sz w:val="28"/>
          <w:szCs w:val="28"/>
        </w:rPr>
        <w:t xml:space="preserve"> металл</w:t>
      </w:r>
      <w:r w:rsidR="00A86432" w:rsidRPr="00282AFB">
        <w:rPr>
          <w:sz w:val="28"/>
          <w:szCs w:val="28"/>
        </w:rPr>
        <w:t>ург</w:t>
      </w:r>
      <w:r w:rsidR="00A15C79" w:rsidRPr="00282AFB">
        <w:rPr>
          <w:sz w:val="28"/>
          <w:szCs w:val="28"/>
        </w:rPr>
        <w:t xml:space="preserve">ического кремния в размере </w:t>
      </w:r>
      <w:r w:rsidR="00282AFB" w:rsidRPr="00282AFB">
        <w:rPr>
          <w:sz w:val="28"/>
          <w:szCs w:val="28"/>
          <w:lang w:val="kk-KZ"/>
        </w:rPr>
        <w:t>9,9</w:t>
      </w:r>
      <w:r w:rsidR="00027422" w:rsidRPr="00282AFB">
        <w:rPr>
          <w:sz w:val="28"/>
          <w:szCs w:val="28"/>
        </w:rPr>
        <w:t xml:space="preserve"> </w:t>
      </w:r>
      <w:r w:rsidR="00A15C79" w:rsidRPr="00282AFB">
        <w:rPr>
          <w:sz w:val="28"/>
          <w:szCs w:val="28"/>
        </w:rPr>
        <w:t>мл</w:t>
      </w:r>
      <w:r w:rsidR="00E40CF0" w:rsidRPr="00282AFB">
        <w:rPr>
          <w:sz w:val="28"/>
          <w:szCs w:val="28"/>
        </w:rPr>
        <w:t>рд</w:t>
      </w:r>
      <w:r w:rsidR="00A15C79" w:rsidRPr="00282AFB">
        <w:rPr>
          <w:sz w:val="28"/>
          <w:szCs w:val="28"/>
        </w:rPr>
        <w:t>. тенге, фи</w:t>
      </w:r>
      <w:r w:rsidR="00A86432" w:rsidRPr="00282AFB">
        <w:rPr>
          <w:sz w:val="28"/>
          <w:szCs w:val="28"/>
        </w:rPr>
        <w:t xml:space="preserve">нансовыми доходами в размере </w:t>
      </w:r>
      <w:r w:rsidR="00AB2253" w:rsidRPr="00282AFB">
        <w:rPr>
          <w:sz w:val="28"/>
          <w:szCs w:val="28"/>
        </w:rPr>
        <w:t>2</w:t>
      </w:r>
      <w:r w:rsidR="00027422" w:rsidRPr="00282AFB">
        <w:rPr>
          <w:sz w:val="28"/>
          <w:szCs w:val="28"/>
        </w:rPr>
        <w:t>,</w:t>
      </w:r>
      <w:r w:rsidR="00282AFB" w:rsidRPr="00282AFB">
        <w:rPr>
          <w:sz w:val="28"/>
          <w:szCs w:val="28"/>
          <w:lang w:val="kk-KZ"/>
        </w:rPr>
        <w:t>3</w:t>
      </w:r>
      <w:r w:rsidR="00027422" w:rsidRPr="00282AFB">
        <w:rPr>
          <w:sz w:val="28"/>
          <w:szCs w:val="28"/>
        </w:rPr>
        <w:t xml:space="preserve"> </w:t>
      </w:r>
      <w:r w:rsidR="00A15C79" w:rsidRPr="00282AFB">
        <w:rPr>
          <w:sz w:val="28"/>
          <w:szCs w:val="28"/>
        </w:rPr>
        <w:t>мл</w:t>
      </w:r>
      <w:r w:rsidR="00E40CF0" w:rsidRPr="00282AFB">
        <w:rPr>
          <w:sz w:val="28"/>
          <w:szCs w:val="28"/>
        </w:rPr>
        <w:t>рд</w:t>
      </w:r>
      <w:r w:rsidR="00A15C79" w:rsidRPr="00282AFB">
        <w:rPr>
          <w:sz w:val="28"/>
          <w:szCs w:val="28"/>
        </w:rPr>
        <w:t>. тенге, полученными в результате размещения временно-свободных денежных средств в банках второго</w:t>
      </w:r>
      <w:proofErr w:type="gramEnd"/>
      <w:r w:rsidR="00A15C79" w:rsidRPr="00282AFB">
        <w:rPr>
          <w:sz w:val="28"/>
          <w:szCs w:val="28"/>
        </w:rPr>
        <w:t xml:space="preserve"> уровня, а также получен</w:t>
      </w:r>
      <w:r w:rsidR="00A86432" w:rsidRPr="00282AFB">
        <w:rPr>
          <w:sz w:val="28"/>
          <w:szCs w:val="28"/>
        </w:rPr>
        <w:t xml:space="preserve">ием прочих доходов в размере </w:t>
      </w:r>
      <w:r w:rsidR="00AB2253" w:rsidRPr="00282AFB">
        <w:rPr>
          <w:sz w:val="28"/>
          <w:szCs w:val="28"/>
        </w:rPr>
        <w:t>1</w:t>
      </w:r>
      <w:r w:rsidR="00E40CF0" w:rsidRPr="00282AFB">
        <w:rPr>
          <w:sz w:val="28"/>
          <w:szCs w:val="28"/>
        </w:rPr>
        <w:t>,</w:t>
      </w:r>
      <w:r w:rsidR="00282AFB" w:rsidRPr="00282AFB">
        <w:rPr>
          <w:sz w:val="28"/>
          <w:szCs w:val="28"/>
          <w:lang w:val="kk-KZ"/>
        </w:rPr>
        <w:t>6</w:t>
      </w:r>
      <w:r w:rsidR="00E40CF0" w:rsidRPr="00282AFB">
        <w:rPr>
          <w:sz w:val="28"/>
          <w:szCs w:val="28"/>
        </w:rPr>
        <w:t xml:space="preserve"> </w:t>
      </w:r>
      <w:r w:rsidR="00A15C79" w:rsidRPr="00282AFB">
        <w:rPr>
          <w:sz w:val="28"/>
          <w:szCs w:val="28"/>
        </w:rPr>
        <w:t>мл</w:t>
      </w:r>
      <w:r w:rsidR="00E40CF0" w:rsidRPr="00282AFB">
        <w:rPr>
          <w:sz w:val="28"/>
          <w:szCs w:val="28"/>
        </w:rPr>
        <w:t>рд</w:t>
      </w:r>
      <w:r w:rsidR="00A15C79" w:rsidRPr="00282AFB">
        <w:rPr>
          <w:sz w:val="28"/>
          <w:szCs w:val="28"/>
        </w:rPr>
        <w:t>. тенге.</w:t>
      </w:r>
    </w:p>
    <w:p w:rsidR="00C038F0" w:rsidRPr="00932FEB" w:rsidRDefault="00C038F0" w:rsidP="00C37AB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EB">
        <w:rPr>
          <w:rFonts w:ascii="Times New Roman" w:hAnsi="Times New Roman" w:cs="Times New Roman"/>
          <w:sz w:val="28"/>
          <w:szCs w:val="28"/>
        </w:rPr>
        <w:t xml:space="preserve">Консолидированные </w:t>
      </w:r>
      <w:r w:rsidR="001A3625" w:rsidRPr="00932FEB">
        <w:rPr>
          <w:rFonts w:ascii="Times New Roman" w:hAnsi="Times New Roman" w:cs="Times New Roman"/>
          <w:sz w:val="28"/>
          <w:szCs w:val="28"/>
        </w:rPr>
        <w:t>расходы</w:t>
      </w:r>
      <w:r w:rsidRPr="00932FEB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E023BF" w:rsidRPr="00932FEB">
        <w:rPr>
          <w:rFonts w:ascii="Times New Roman" w:hAnsi="Times New Roman" w:cs="Times New Roman"/>
          <w:sz w:val="28"/>
          <w:szCs w:val="28"/>
        </w:rPr>
        <w:t>за</w:t>
      </w:r>
      <w:r w:rsidR="00027422">
        <w:rPr>
          <w:rFonts w:ascii="Times New Roman" w:hAnsi="Times New Roman" w:cs="Times New Roman"/>
          <w:sz w:val="28"/>
          <w:szCs w:val="28"/>
        </w:rPr>
        <w:t xml:space="preserve"> </w:t>
      </w:r>
      <w:r w:rsidR="00E76F82" w:rsidRPr="00E76F82">
        <w:rPr>
          <w:rFonts w:ascii="Times New Roman" w:hAnsi="Times New Roman" w:cs="Times New Roman"/>
          <w:sz w:val="28"/>
          <w:szCs w:val="28"/>
        </w:rPr>
        <w:t>12</w:t>
      </w:r>
      <w:r w:rsidR="00027422">
        <w:rPr>
          <w:rFonts w:ascii="Times New Roman" w:hAnsi="Times New Roman" w:cs="Times New Roman"/>
          <w:sz w:val="28"/>
          <w:szCs w:val="28"/>
        </w:rPr>
        <w:t xml:space="preserve"> </w:t>
      </w:r>
      <w:r w:rsidR="00AB2253">
        <w:rPr>
          <w:rFonts w:ascii="Times New Roman" w:hAnsi="Times New Roman" w:cs="Times New Roman"/>
          <w:sz w:val="28"/>
          <w:szCs w:val="28"/>
        </w:rPr>
        <w:t>месяцев</w:t>
      </w:r>
      <w:r w:rsidR="00027422">
        <w:rPr>
          <w:rFonts w:ascii="Times New Roman" w:hAnsi="Times New Roman" w:cs="Times New Roman"/>
          <w:sz w:val="28"/>
          <w:szCs w:val="28"/>
        </w:rPr>
        <w:t xml:space="preserve"> </w:t>
      </w:r>
      <w:r w:rsidR="00E023BF" w:rsidRPr="00932FEB">
        <w:rPr>
          <w:rFonts w:ascii="Times New Roman" w:hAnsi="Times New Roman" w:cs="Times New Roman"/>
          <w:sz w:val="28"/>
          <w:szCs w:val="28"/>
        </w:rPr>
        <w:t>201</w:t>
      </w:r>
      <w:r w:rsidR="00027422">
        <w:rPr>
          <w:rFonts w:ascii="Times New Roman" w:hAnsi="Times New Roman" w:cs="Times New Roman"/>
          <w:sz w:val="28"/>
          <w:szCs w:val="28"/>
        </w:rPr>
        <w:t>8</w:t>
      </w:r>
      <w:r w:rsidR="00DB1198" w:rsidRPr="00932FEB">
        <w:rPr>
          <w:rFonts w:ascii="Times New Roman" w:hAnsi="Times New Roman" w:cs="Times New Roman"/>
          <w:sz w:val="28"/>
          <w:szCs w:val="28"/>
        </w:rPr>
        <w:t xml:space="preserve"> </w:t>
      </w:r>
      <w:r w:rsidR="003D6F23">
        <w:rPr>
          <w:rFonts w:ascii="Times New Roman" w:hAnsi="Times New Roman" w:cs="Times New Roman"/>
          <w:sz w:val="28"/>
          <w:szCs w:val="28"/>
        </w:rPr>
        <w:t>год</w:t>
      </w:r>
      <w:r w:rsidR="00027422">
        <w:rPr>
          <w:rFonts w:ascii="Times New Roman" w:hAnsi="Times New Roman" w:cs="Times New Roman"/>
          <w:sz w:val="28"/>
          <w:szCs w:val="28"/>
        </w:rPr>
        <w:t>а</w:t>
      </w:r>
      <w:r w:rsidRPr="00932FE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E76F82" w:rsidRPr="00E76F82">
        <w:rPr>
          <w:rFonts w:ascii="Times New Roman" w:hAnsi="Times New Roman" w:cs="Times New Roman"/>
          <w:sz w:val="28"/>
          <w:szCs w:val="28"/>
        </w:rPr>
        <w:t>281</w:t>
      </w:r>
      <w:r w:rsidR="00027422">
        <w:rPr>
          <w:rFonts w:ascii="Times New Roman" w:hAnsi="Times New Roman" w:cs="Times New Roman"/>
          <w:sz w:val="28"/>
          <w:szCs w:val="28"/>
        </w:rPr>
        <w:t xml:space="preserve"> </w:t>
      </w:r>
      <w:r w:rsidRPr="00932FEB">
        <w:rPr>
          <w:rFonts w:ascii="Times New Roman" w:hAnsi="Times New Roman" w:cs="Times New Roman"/>
          <w:sz w:val="28"/>
          <w:szCs w:val="28"/>
        </w:rPr>
        <w:t>мл</w:t>
      </w:r>
      <w:r w:rsidR="00E40CF0">
        <w:rPr>
          <w:rFonts w:ascii="Times New Roman" w:hAnsi="Times New Roman" w:cs="Times New Roman"/>
          <w:sz w:val="28"/>
          <w:szCs w:val="28"/>
        </w:rPr>
        <w:t>рд</w:t>
      </w:r>
      <w:r w:rsidRPr="00932FEB">
        <w:rPr>
          <w:rFonts w:ascii="Times New Roman" w:hAnsi="Times New Roman" w:cs="Times New Roman"/>
          <w:sz w:val="28"/>
          <w:szCs w:val="28"/>
        </w:rPr>
        <w:t xml:space="preserve">. тенге </w:t>
      </w:r>
      <w:r w:rsidR="007A7E98">
        <w:rPr>
          <w:rFonts w:ascii="Times New Roman" w:hAnsi="Times New Roman" w:cs="Times New Roman"/>
          <w:sz w:val="28"/>
          <w:szCs w:val="28"/>
        </w:rPr>
        <w:t>и включают</w:t>
      </w:r>
      <w:r w:rsidRPr="00932FEB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B83CA0">
        <w:rPr>
          <w:rFonts w:ascii="Times New Roman" w:hAnsi="Times New Roman" w:cs="Times New Roman"/>
          <w:sz w:val="28"/>
          <w:szCs w:val="28"/>
        </w:rPr>
        <w:t>, в основном,</w:t>
      </w:r>
      <w:r w:rsidRPr="00932FEB">
        <w:rPr>
          <w:rFonts w:ascii="Times New Roman" w:hAnsi="Times New Roman" w:cs="Times New Roman"/>
          <w:sz w:val="28"/>
          <w:szCs w:val="28"/>
        </w:rPr>
        <w:t xml:space="preserve"> приобретение золотосодержащего сырья</w:t>
      </w:r>
      <w:r w:rsidR="00E40CF0">
        <w:rPr>
          <w:rFonts w:ascii="Times New Roman" w:hAnsi="Times New Roman" w:cs="Times New Roman"/>
          <w:sz w:val="28"/>
          <w:szCs w:val="28"/>
        </w:rPr>
        <w:t>,</w:t>
      </w:r>
      <w:r w:rsidRPr="00932FEB">
        <w:rPr>
          <w:rFonts w:ascii="Times New Roman" w:hAnsi="Times New Roman" w:cs="Times New Roman"/>
          <w:sz w:val="28"/>
          <w:szCs w:val="28"/>
        </w:rPr>
        <w:t xml:space="preserve">  затраты учитываемых в </w:t>
      </w:r>
      <w:r w:rsidR="00E40CF0">
        <w:rPr>
          <w:rFonts w:ascii="Times New Roman" w:hAnsi="Times New Roman" w:cs="Times New Roman"/>
          <w:sz w:val="28"/>
          <w:szCs w:val="28"/>
        </w:rPr>
        <w:t xml:space="preserve">аффинаже </w:t>
      </w:r>
      <w:r w:rsidRPr="00932FEB">
        <w:rPr>
          <w:rFonts w:ascii="Times New Roman" w:hAnsi="Times New Roman" w:cs="Times New Roman"/>
          <w:sz w:val="28"/>
          <w:szCs w:val="28"/>
        </w:rPr>
        <w:t>золота</w:t>
      </w:r>
      <w:r w:rsidR="00E40CF0">
        <w:rPr>
          <w:rFonts w:ascii="Times New Roman" w:hAnsi="Times New Roman" w:cs="Times New Roman"/>
          <w:sz w:val="28"/>
          <w:szCs w:val="28"/>
        </w:rPr>
        <w:t>,</w:t>
      </w:r>
      <w:r w:rsidR="00E023BF" w:rsidRPr="00932FEB">
        <w:rPr>
          <w:rFonts w:ascii="Times New Roman" w:hAnsi="Times New Roman" w:cs="Times New Roman"/>
          <w:sz w:val="28"/>
          <w:szCs w:val="28"/>
        </w:rPr>
        <w:t xml:space="preserve"> затраты по производству металлургического кремния</w:t>
      </w:r>
      <w:r w:rsidRPr="00932FEB">
        <w:rPr>
          <w:rFonts w:ascii="Times New Roman" w:hAnsi="Times New Roman" w:cs="Times New Roman"/>
          <w:sz w:val="28"/>
          <w:szCs w:val="28"/>
        </w:rPr>
        <w:t>, об</w:t>
      </w:r>
      <w:r w:rsidR="00E023BF" w:rsidRPr="00932FEB">
        <w:rPr>
          <w:rFonts w:ascii="Times New Roman" w:hAnsi="Times New Roman" w:cs="Times New Roman"/>
          <w:sz w:val="28"/>
          <w:szCs w:val="28"/>
        </w:rPr>
        <w:t xml:space="preserve">щие и административные расходы, расходы </w:t>
      </w:r>
      <w:r w:rsidR="00E40CF0">
        <w:rPr>
          <w:rFonts w:ascii="Times New Roman" w:hAnsi="Times New Roman" w:cs="Times New Roman"/>
          <w:sz w:val="28"/>
          <w:szCs w:val="28"/>
        </w:rPr>
        <w:t>по транспортировке и реализации и</w:t>
      </w:r>
      <w:r w:rsidR="00E023BF" w:rsidRPr="00932FEB">
        <w:rPr>
          <w:rFonts w:ascii="Times New Roman" w:hAnsi="Times New Roman" w:cs="Times New Roman"/>
          <w:sz w:val="28"/>
          <w:szCs w:val="28"/>
        </w:rPr>
        <w:t xml:space="preserve"> </w:t>
      </w:r>
      <w:r w:rsidRPr="00932FEB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E023BF" w:rsidRPr="00932FEB">
        <w:rPr>
          <w:rFonts w:ascii="Times New Roman" w:hAnsi="Times New Roman" w:cs="Times New Roman"/>
          <w:sz w:val="28"/>
          <w:szCs w:val="28"/>
        </w:rPr>
        <w:t>неоперационные расходы</w:t>
      </w:r>
      <w:r w:rsidRPr="00932FEB">
        <w:rPr>
          <w:rFonts w:ascii="Times New Roman" w:hAnsi="Times New Roman" w:cs="Times New Roman"/>
          <w:sz w:val="28"/>
          <w:szCs w:val="28"/>
        </w:rPr>
        <w:t>.</w:t>
      </w:r>
      <w:r w:rsidR="00E023BF" w:rsidRPr="00932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E98" w:rsidRDefault="00452067" w:rsidP="004F38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67">
        <w:rPr>
          <w:rFonts w:ascii="Times New Roman" w:hAnsi="Times New Roman" w:cs="Times New Roman"/>
          <w:sz w:val="28"/>
          <w:szCs w:val="28"/>
        </w:rPr>
        <w:t>В 201</w:t>
      </w:r>
      <w:r w:rsidR="00E76F82" w:rsidRPr="00E76F82">
        <w:rPr>
          <w:rFonts w:ascii="Times New Roman" w:hAnsi="Times New Roman" w:cs="Times New Roman"/>
          <w:sz w:val="28"/>
          <w:szCs w:val="28"/>
        </w:rPr>
        <w:t>9</w:t>
      </w:r>
      <w:r w:rsidRPr="00452067">
        <w:rPr>
          <w:rFonts w:ascii="Times New Roman" w:hAnsi="Times New Roman" w:cs="Times New Roman"/>
          <w:sz w:val="28"/>
          <w:szCs w:val="28"/>
        </w:rPr>
        <w:t xml:space="preserve"> году Обществом </w:t>
      </w:r>
      <w:r w:rsidR="00027422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Pr="00452067">
        <w:rPr>
          <w:rFonts w:ascii="Times New Roman" w:hAnsi="Times New Roman" w:cs="Times New Roman"/>
          <w:sz w:val="28"/>
          <w:szCs w:val="28"/>
        </w:rPr>
        <w:t xml:space="preserve">получение общего дохода в размере </w:t>
      </w:r>
      <w:r w:rsidR="00E76F82" w:rsidRPr="00E76F82">
        <w:rPr>
          <w:rFonts w:ascii="Times New Roman" w:hAnsi="Times New Roman" w:cs="Times New Roman"/>
          <w:sz w:val="28"/>
          <w:szCs w:val="28"/>
        </w:rPr>
        <w:t>326</w:t>
      </w:r>
      <w:r w:rsidR="00027422">
        <w:rPr>
          <w:rFonts w:ascii="Times New Roman" w:hAnsi="Times New Roman" w:cs="Times New Roman"/>
          <w:sz w:val="28"/>
          <w:szCs w:val="28"/>
        </w:rPr>
        <w:t xml:space="preserve"> </w:t>
      </w:r>
      <w:r w:rsidRPr="00452067">
        <w:rPr>
          <w:rFonts w:ascii="Times New Roman" w:hAnsi="Times New Roman" w:cs="Times New Roman"/>
          <w:sz w:val="28"/>
          <w:szCs w:val="28"/>
        </w:rPr>
        <w:t>мл</w:t>
      </w:r>
      <w:r w:rsidR="008A1F98">
        <w:rPr>
          <w:rFonts w:ascii="Times New Roman" w:hAnsi="Times New Roman" w:cs="Times New Roman"/>
          <w:sz w:val="28"/>
          <w:szCs w:val="28"/>
        </w:rPr>
        <w:t>рд</w:t>
      </w:r>
      <w:r w:rsidRPr="00452067">
        <w:rPr>
          <w:rFonts w:ascii="Times New Roman" w:hAnsi="Times New Roman" w:cs="Times New Roman"/>
          <w:sz w:val="28"/>
          <w:szCs w:val="28"/>
        </w:rPr>
        <w:t xml:space="preserve">. тенге, за счет реализации аффинированного золота в размере </w:t>
      </w:r>
      <w:r w:rsidR="00C77EB8">
        <w:rPr>
          <w:rFonts w:ascii="Times New Roman" w:hAnsi="Times New Roman" w:cs="Times New Roman"/>
          <w:sz w:val="28"/>
          <w:szCs w:val="28"/>
          <w:lang w:val="kk-KZ"/>
        </w:rPr>
        <w:t>310,4</w:t>
      </w:r>
      <w:r w:rsidR="00027422">
        <w:rPr>
          <w:rFonts w:ascii="Times New Roman" w:hAnsi="Times New Roman" w:cs="Times New Roman"/>
          <w:sz w:val="28"/>
          <w:szCs w:val="28"/>
        </w:rPr>
        <w:t xml:space="preserve"> </w:t>
      </w:r>
      <w:r w:rsidRPr="00452067">
        <w:rPr>
          <w:rFonts w:ascii="Times New Roman" w:hAnsi="Times New Roman" w:cs="Times New Roman"/>
          <w:sz w:val="28"/>
          <w:szCs w:val="28"/>
        </w:rPr>
        <w:t>мл</w:t>
      </w:r>
      <w:r w:rsidR="008A1F98">
        <w:rPr>
          <w:rFonts w:ascii="Times New Roman" w:hAnsi="Times New Roman" w:cs="Times New Roman"/>
          <w:sz w:val="28"/>
          <w:szCs w:val="28"/>
        </w:rPr>
        <w:t>рд</w:t>
      </w:r>
      <w:r w:rsidRPr="00452067">
        <w:rPr>
          <w:rFonts w:ascii="Times New Roman" w:hAnsi="Times New Roman" w:cs="Times New Roman"/>
          <w:sz w:val="28"/>
          <w:szCs w:val="28"/>
        </w:rPr>
        <w:t>. тенге Национальному Банку Республики Казахстана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067">
        <w:rPr>
          <w:rFonts w:ascii="Times New Roman" w:hAnsi="Times New Roman" w:cs="Times New Roman"/>
          <w:sz w:val="28"/>
          <w:szCs w:val="28"/>
        </w:rPr>
        <w:t xml:space="preserve"> реализации металлургического кремния в размере </w:t>
      </w:r>
      <w:r w:rsidR="00C77EB8">
        <w:rPr>
          <w:rFonts w:ascii="Times New Roman" w:hAnsi="Times New Roman" w:cs="Times New Roman"/>
          <w:sz w:val="28"/>
          <w:szCs w:val="28"/>
          <w:lang w:val="kk-KZ"/>
        </w:rPr>
        <w:t>13,3</w:t>
      </w:r>
      <w:r w:rsidR="00A67AA1">
        <w:rPr>
          <w:rFonts w:ascii="Times New Roman" w:hAnsi="Times New Roman" w:cs="Times New Roman"/>
          <w:sz w:val="28"/>
          <w:szCs w:val="28"/>
        </w:rPr>
        <w:t xml:space="preserve"> </w:t>
      </w:r>
      <w:r w:rsidRPr="00452067">
        <w:rPr>
          <w:rFonts w:ascii="Times New Roman" w:hAnsi="Times New Roman" w:cs="Times New Roman"/>
          <w:sz w:val="28"/>
          <w:szCs w:val="28"/>
        </w:rPr>
        <w:t>мл</w:t>
      </w:r>
      <w:r w:rsidR="008A1F98">
        <w:rPr>
          <w:rFonts w:ascii="Times New Roman" w:hAnsi="Times New Roman" w:cs="Times New Roman"/>
          <w:sz w:val="28"/>
          <w:szCs w:val="28"/>
        </w:rPr>
        <w:t>рд</w:t>
      </w:r>
      <w:r w:rsidRPr="00452067">
        <w:rPr>
          <w:rFonts w:ascii="Times New Roman" w:hAnsi="Times New Roman" w:cs="Times New Roman"/>
          <w:sz w:val="28"/>
          <w:szCs w:val="28"/>
        </w:rPr>
        <w:t>. тенге</w:t>
      </w:r>
      <w:r>
        <w:rPr>
          <w:rFonts w:ascii="Times New Roman" w:hAnsi="Times New Roman" w:cs="Times New Roman"/>
          <w:sz w:val="28"/>
          <w:szCs w:val="28"/>
        </w:rPr>
        <w:t xml:space="preserve">, реализации аффинированного серебра в размере </w:t>
      </w:r>
      <w:r w:rsidR="00C77EB8">
        <w:rPr>
          <w:rFonts w:ascii="Times New Roman" w:hAnsi="Times New Roman" w:cs="Times New Roman"/>
          <w:sz w:val="28"/>
          <w:szCs w:val="28"/>
          <w:lang w:val="kk-KZ"/>
        </w:rPr>
        <w:t>1,3</w:t>
      </w:r>
      <w:r w:rsidR="008A1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8A1F98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>. тенге</w:t>
      </w:r>
      <w:r w:rsidR="008A1F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19C" w:rsidRPr="00452067" w:rsidRDefault="00BE319C" w:rsidP="00BE319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E58">
        <w:rPr>
          <w:rFonts w:ascii="Times New Roman" w:hAnsi="Times New Roman" w:cs="Times New Roman"/>
          <w:sz w:val="28"/>
          <w:szCs w:val="28"/>
        </w:rPr>
        <w:t xml:space="preserve">Общие расходы на 2019 год планируются в размере 329 млрд. тенге и  включают в себя расходы на приобретение золотосодержащего сырья и затраты учитываемых в производстве аффинированного золота и металлургического кремния в размере </w:t>
      </w:r>
      <w:r w:rsidR="00907C98" w:rsidRPr="00AC3E58">
        <w:rPr>
          <w:rFonts w:ascii="Times New Roman" w:hAnsi="Times New Roman" w:cs="Times New Roman"/>
          <w:sz w:val="28"/>
          <w:szCs w:val="28"/>
        </w:rPr>
        <w:t>323,3</w:t>
      </w:r>
      <w:r w:rsidRPr="00AC3E58">
        <w:rPr>
          <w:rFonts w:ascii="Times New Roman" w:hAnsi="Times New Roman" w:cs="Times New Roman"/>
          <w:sz w:val="28"/>
          <w:szCs w:val="28"/>
        </w:rPr>
        <w:t xml:space="preserve"> млрд. тенге, общие и административные расходы корпоративного центра Общества и дочерних организации в размере </w:t>
      </w:r>
      <w:r w:rsidR="00907C98" w:rsidRPr="00AC3E58">
        <w:rPr>
          <w:rFonts w:ascii="Times New Roman" w:hAnsi="Times New Roman" w:cs="Times New Roman"/>
          <w:sz w:val="28"/>
          <w:szCs w:val="28"/>
        </w:rPr>
        <w:t>4,6</w:t>
      </w:r>
      <w:r w:rsidRPr="00AC3E58">
        <w:rPr>
          <w:rFonts w:ascii="Times New Roman" w:hAnsi="Times New Roman" w:cs="Times New Roman"/>
          <w:sz w:val="28"/>
          <w:szCs w:val="28"/>
        </w:rPr>
        <w:t xml:space="preserve"> млрд. тенге, расходы на реализацию в размере 0,3 млрд. тенге, прочие расходы в размере </w:t>
      </w:r>
      <w:r w:rsidR="00907C98" w:rsidRPr="00AC3E58">
        <w:rPr>
          <w:rFonts w:ascii="Times New Roman" w:hAnsi="Times New Roman" w:cs="Times New Roman"/>
          <w:sz w:val="28"/>
          <w:szCs w:val="28"/>
        </w:rPr>
        <w:t>0,8</w:t>
      </w:r>
      <w:r w:rsidRPr="00AC3E58">
        <w:rPr>
          <w:rFonts w:ascii="Times New Roman" w:hAnsi="Times New Roman" w:cs="Times New Roman"/>
          <w:sz w:val="28"/>
          <w:szCs w:val="28"/>
        </w:rPr>
        <w:t xml:space="preserve"> млрд. тенге.</w:t>
      </w:r>
    </w:p>
    <w:p w:rsidR="008D1EBA" w:rsidRPr="00452067" w:rsidRDefault="002843E0" w:rsidP="008D1EB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Таким образом</w:t>
      </w:r>
      <w:r w:rsidR="001202B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202B8" w:rsidRPr="00282AF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202B8" w:rsidRPr="00452067">
        <w:rPr>
          <w:rFonts w:ascii="Times New Roman" w:hAnsi="Times New Roman" w:cs="Times New Roman"/>
          <w:sz w:val="28"/>
          <w:szCs w:val="28"/>
        </w:rPr>
        <w:t>20</w:t>
      </w:r>
      <w:r w:rsidR="001202B8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12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Обществом планируется получение доход</w:t>
      </w:r>
      <w:r w:rsidR="00D7372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реализации  </w:t>
      </w:r>
      <w:r w:rsidRPr="00452067">
        <w:rPr>
          <w:rFonts w:ascii="Times New Roman" w:hAnsi="Times New Roman" w:cs="Times New Roman"/>
          <w:sz w:val="28"/>
          <w:szCs w:val="28"/>
        </w:rPr>
        <w:t xml:space="preserve">свинцово-цинкового </w:t>
      </w:r>
      <w:r>
        <w:rPr>
          <w:rFonts w:ascii="Times New Roman" w:hAnsi="Times New Roman" w:cs="Times New Roman"/>
          <w:sz w:val="28"/>
          <w:szCs w:val="28"/>
        </w:rPr>
        <w:t xml:space="preserve">и свинцово-серебряного концентратов за счет </w:t>
      </w:r>
      <w:r w:rsidR="008D1EBA" w:rsidRPr="00452067">
        <w:rPr>
          <w:rFonts w:ascii="Times New Roman" w:hAnsi="Times New Roman" w:cs="Times New Roman"/>
          <w:sz w:val="28"/>
          <w:szCs w:val="28"/>
        </w:rPr>
        <w:lastRenderedPageBreak/>
        <w:t xml:space="preserve">ввода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обогатительных фабрик </w:t>
      </w:r>
      <w:r w:rsidR="00D73721">
        <w:rPr>
          <w:rFonts w:ascii="Times New Roman" w:hAnsi="Times New Roman" w:cs="Times New Roman"/>
          <w:sz w:val="28"/>
          <w:szCs w:val="28"/>
        </w:rPr>
        <w:t>на месторождениях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7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Шалкия</w:t>
      </w:r>
      <w:proofErr w:type="spellEnd"/>
      <w:r w:rsidR="00D73721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D73721"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 w:rsidR="00D7372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D1EBA" w:rsidRPr="004520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1EBA" w:rsidRPr="00452067">
        <w:rPr>
          <w:rFonts w:ascii="Times New Roman" w:hAnsi="Times New Roman" w:cs="Times New Roman"/>
          <w:sz w:val="28"/>
          <w:szCs w:val="28"/>
        </w:rPr>
        <w:t>Алайгыр</w:t>
      </w:r>
      <w:proofErr w:type="spellEnd"/>
      <w:r w:rsidR="008D1EBA" w:rsidRPr="00452067">
        <w:rPr>
          <w:rFonts w:ascii="Times New Roman" w:hAnsi="Times New Roman" w:cs="Times New Roman"/>
          <w:sz w:val="28"/>
          <w:szCs w:val="28"/>
        </w:rPr>
        <w:t xml:space="preserve">» </w:t>
      </w:r>
      <w:r w:rsidR="00D73721">
        <w:rPr>
          <w:rFonts w:ascii="Times New Roman" w:hAnsi="Times New Roman" w:cs="Times New Roman"/>
          <w:sz w:val="28"/>
          <w:szCs w:val="28"/>
        </w:rPr>
        <w:t>в Карагандинской области</w:t>
      </w:r>
      <w:r w:rsidR="00E92771">
        <w:rPr>
          <w:rFonts w:ascii="Times New Roman" w:hAnsi="Times New Roman" w:cs="Times New Roman"/>
          <w:sz w:val="28"/>
          <w:szCs w:val="28"/>
        </w:rPr>
        <w:t>.</w:t>
      </w:r>
    </w:p>
    <w:sectPr w:rsidR="008D1EBA" w:rsidRPr="00452067" w:rsidSect="00BD7719">
      <w:footerReference w:type="even" r:id="rId11"/>
      <w:footerReference w:type="default" r:id="rId12"/>
      <w:footerReference w:type="first" r:id="rId13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DD" w:rsidRDefault="00911EDD" w:rsidP="00BA39CD">
      <w:pPr>
        <w:spacing w:after="0" w:line="240" w:lineRule="auto"/>
      </w:pPr>
      <w:r>
        <w:separator/>
      </w:r>
    </w:p>
  </w:endnote>
  <w:endnote w:type="continuationSeparator" w:id="0">
    <w:p w:rsidR="00911EDD" w:rsidRDefault="00911EDD" w:rsidP="00BA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067"/>
      <w:docPartObj>
        <w:docPartGallery w:val="Page Numbers (Bottom of Page)"/>
        <w:docPartUnique/>
      </w:docPartObj>
    </w:sdtPr>
    <w:sdtContent>
      <w:p w:rsidR="00911EDD" w:rsidRDefault="00911ED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0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1EDD" w:rsidRDefault="00911E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065"/>
      <w:docPartObj>
        <w:docPartGallery w:val="Page Numbers (Bottom of Page)"/>
        <w:docPartUnique/>
      </w:docPartObj>
    </w:sdtPr>
    <w:sdtContent>
      <w:p w:rsidR="00911EDD" w:rsidRDefault="00911ED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1EDD" w:rsidRDefault="00911E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066"/>
      <w:docPartObj>
        <w:docPartGallery w:val="Page Numbers (Bottom of Page)"/>
        <w:docPartUnique/>
      </w:docPartObj>
    </w:sdtPr>
    <w:sdtContent>
      <w:p w:rsidR="00911EDD" w:rsidRDefault="00911ED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0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1EDD" w:rsidRDefault="00911E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DD" w:rsidRDefault="00911EDD" w:rsidP="00BA39CD">
      <w:pPr>
        <w:spacing w:after="0" w:line="240" w:lineRule="auto"/>
      </w:pPr>
      <w:r>
        <w:separator/>
      </w:r>
    </w:p>
  </w:footnote>
  <w:footnote w:type="continuationSeparator" w:id="0">
    <w:p w:rsidR="00911EDD" w:rsidRDefault="00911EDD" w:rsidP="00BA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DB"/>
    <w:multiLevelType w:val="hybridMultilevel"/>
    <w:tmpl w:val="A284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7956"/>
    <w:multiLevelType w:val="hybridMultilevel"/>
    <w:tmpl w:val="35542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345FE8"/>
    <w:multiLevelType w:val="hybridMultilevel"/>
    <w:tmpl w:val="287EED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A80A5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3B8410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1E6BB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EEF2F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8B6B01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F233C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A4EE364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DAA7638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787CE5"/>
    <w:multiLevelType w:val="hybridMultilevel"/>
    <w:tmpl w:val="5BA6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4321"/>
    <w:multiLevelType w:val="hybridMultilevel"/>
    <w:tmpl w:val="232C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14A27"/>
    <w:multiLevelType w:val="hybridMultilevel"/>
    <w:tmpl w:val="D92E6EC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696B19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419E4"/>
    <w:multiLevelType w:val="hybridMultilevel"/>
    <w:tmpl w:val="E2EE8648"/>
    <w:lvl w:ilvl="0" w:tplc="0E32F1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24EC2"/>
    <w:multiLevelType w:val="hybridMultilevel"/>
    <w:tmpl w:val="3A88B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4481A"/>
    <w:multiLevelType w:val="hybridMultilevel"/>
    <w:tmpl w:val="14D23C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3F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2D6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21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A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0CC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0AC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869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A45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F6C98"/>
    <w:multiLevelType w:val="multilevel"/>
    <w:tmpl w:val="89AAAB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1">
    <w:nsid w:val="2C740A52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534A1"/>
    <w:multiLevelType w:val="hybridMultilevel"/>
    <w:tmpl w:val="3A7064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B05257"/>
    <w:multiLevelType w:val="hybridMultilevel"/>
    <w:tmpl w:val="1BB656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840249"/>
    <w:multiLevelType w:val="hybridMultilevel"/>
    <w:tmpl w:val="B48AA9A2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3395250F"/>
    <w:multiLevelType w:val="hybridMultilevel"/>
    <w:tmpl w:val="E55CB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96A6F"/>
    <w:multiLevelType w:val="hybridMultilevel"/>
    <w:tmpl w:val="28CA29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E9057E6"/>
    <w:multiLevelType w:val="hybridMultilevel"/>
    <w:tmpl w:val="194E4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0777C"/>
    <w:multiLevelType w:val="hybridMultilevel"/>
    <w:tmpl w:val="6638E90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952B46"/>
    <w:multiLevelType w:val="hybridMultilevel"/>
    <w:tmpl w:val="BCC8C23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1C7019"/>
    <w:multiLevelType w:val="hybridMultilevel"/>
    <w:tmpl w:val="6E809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12CC3"/>
    <w:multiLevelType w:val="hybridMultilevel"/>
    <w:tmpl w:val="C622C1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F66080"/>
    <w:multiLevelType w:val="hybridMultilevel"/>
    <w:tmpl w:val="9C144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46E06"/>
    <w:multiLevelType w:val="hybridMultilevel"/>
    <w:tmpl w:val="D57688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2100455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B140D"/>
    <w:multiLevelType w:val="hybridMultilevel"/>
    <w:tmpl w:val="F6AA5A88"/>
    <w:lvl w:ilvl="0" w:tplc="A1A490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C3A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81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628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ADF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AC8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82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62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2C5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2D0327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45433"/>
    <w:multiLevelType w:val="hybridMultilevel"/>
    <w:tmpl w:val="E2244522"/>
    <w:lvl w:ilvl="0" w:tplc="960E2C4C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B11352E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F0644"/>
    <w:multiLevelType w:val="hybridMultilevel"/>
    <w:tmpl w:val="FC68AE5A"/>
    <w:lvl w:ilvl="0" w:tplc="49607D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09F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C64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A7B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A60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070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474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00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A9D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431D35"/>
    <w:multiLevelType w:val="hybridMultilevel"/>
    <w:tmpl w:val="5F14E0E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0A3EE9"/>
    <w:multiLevelType w:val="hybridMultilevel"/>
    <w:tmpl w:val="6D4430EE"/>
    <w:lvl w:ilvl="0" w:tplc="49607DD8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4"/>
  </w:num>
  <w:num w:numId="4">
    <w:abstractNumId w:val="1"/>
  </w:num>
  <w:num w:numId="5">
    <w:abstractNumId w:val="20"/>
  </w:num>
  <w:num w:numId="6">
    <w:abstractNumId w:val="15"/>
  </w:num>
  <w:num w:numId="7">
    <w:abstractNumId w:val="14"/>
  </w:num>
  <w:num w:numId="8">
    <w:abstractNumId w:val="27"/>
  </w:num>
  <w:num w:numId="9">
    <w:abstractNumId w:val="7"/>
  </w:num>
  <w:num w:numId="10">
    <w:abstractNumId w:val="16"/>
  </w:num>
  <w:num w:numId="11">
    <w:abstractNumId w:val="8"/>
  </w:num>
  <w:num w:numId="12">
    <w:abstractNumId w:val="30"/>
  </w:num>
  <w:num w:numId="13">
    <w:abstractNumId w:val="21"/>
  </w:num>
  <w:num w:numId="14">
    <w:abstractNumId w:val="12"/>
  </w:num>
  <w:num w:numId="15">
    <w:abstractNumId w:val="0"/>
  </w:num>
  <w:num w:numId="16">
    <w:abstractNumId w:val="29"/>
  </w:num>
  <w:num w:numId="17">
    <w:abstractNumId w:val="25"/>
  </w:num>
  <w:num w:numId="18">
    <w:abstractNumId w:val="28"/>
  </w:num>
  <w:num w:numId="19">
    <w:abstractNumId w:val="9"/>
  </w:num>
  <w:num w:numId="20">
    <w:abstractNumId w:val="18"/>
  </w:num>
  <w:num w:numId="21">
    <w:abstractNumId w:val="6"/>
  </w:num>
  <w:num w:numId="22">
    <w:abstractNumId w:val="26"/>
  </w:num>
  <w:num w:numId="23">
    <w:abstractNumId w:val="17"/>
  </w:num>
  <w:num w:numId="24">
    <w:abstractNumId w:val="4"/>
  </w:num>
  <w:num w:numId="25">
    <w:abstractNumId w:val="22"/>
  </w:num>
  <w:num w:numId="26">
    <w:abstractNumId w:val="5"/>
  </w:num>
  <w:num w:numId="27">
    <w:abstractNumId w:val="13"/>
  </w:num>
  <w:num w:numId="28">
    <w:abstractNumId w:val="19"/>
  </w:num>
  <w:num w:numId="29">
    <w:abstractNumId w:val="23"/>
  </w:num>
  <w:num w:numId="30">
    <w:abstractNumId w:val="11"/>
  </w:num>
  <w:num w:numId="31">
    <w:abstractNumId w:val="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CD"/>
    <w:rsid w:val="000006DE"/>
    <w:rsid w:val="00000BCD"/>
    <w:rsid w:val="00007986"/>
    <w:rsid w:val="00007AC2"/>
    <w:rsid w:val="00012F11"/>
    <w:rsid w:val="00014059"/>
    <w:rsid w:val="00016765"/>
    <w:rsid w:val="00016D4D"/>
    <w:rsid w:val="0001727D"/>
    <w:rsid w:val="000172E5"/>
    <w:rsid w:val="00022FEB"/>
    <w:rsid w:val="0002704B"/>
    <w:rsid w:val="00027422"/>
    <w:rsid w:val="000367E5"/>
    <w:rsid w:val="000416D1"/>
    <w:rsid w:val="00042AA5"/>
    <w:rsid w:val="00047E4F"/>
    <w:rsid w:val="000604A0"/>
    <w:rsid w:val="00070B0C"/>
    <w:rsid w:val="00071D9F"/>
    <w:rsid w:val="000727CB"/>
    <w:rsid w:val="00080769"/>
    <w:rsid w:val="000876C0"/>
    <w:rsid w:val="000903C7"/>
    <w:rsid w:val="00091547"/>
    <w:rsid w:val="000A5C37"/>
    <w:rsid w:val="000C02CB"/>
    <w:rsid w:val="000C6C28"/>
    <w:rsid w:val="000C6CCE"/>
    <w:rsid w:val="000D5817"/>
    <w:rsid w:val="000E254A"/>
    <w:rsid w:val="000E2CC7"/>
    <w:rsid w:val="000E69B9"/>
    <w:rsid w:val="000F240B"/>
    <w:rsid w:val="00104C21"/>
    <w:rsid w:val="00105DF4"/>
    <w:rsid w:val="00111905"/>
    <w:rsid w:val="0011225F"/>
    <w:rsid w:val="00115A72"/>
    <w:rsid w:val="00117C46"/>
    <w:rsid w:val="001202B8"/>
    <w:rsid w:val="00120A08"/>
    <w:rsid w:val="00121E0D"/>
    <w:rsid w:val="00134903"/>
    <w:rsid w:val="0013789B"/>
    <w:rsid w:val="001469EB"/>
    <w:rsid w:val="00162942"/>
    <w:rsid w:val="00165461"/>
    <w:rsid w:val="00166BCA"/>
    <w:rsid w:val="00172F0C"/>
    <w:rsid w:val="001750E8"/>
    <w:rsid w:val="001813F0"/>
    <w:rsid w:val="00181D18"/>
    <w:rsid w:val="00184404"/>
    <w:rsid w:val="001850CC"/>
    <w:rsid w:val="001854BF"/>
    <w:rsid w:val="00185999"/>
    <w:rsid w:val="00186E12"/>
    <w:rsid w:val="001932EB"/>
    <w:rsid w:val="00193903"/>
    <w:rsid w:val="001958EE"/>
    <w:rsid w:val="00196639"/>
    <w:rsid w:val="001A289D"/>
    <w:rsid w:val="001A32AF"/>
    <w:rsid w:val="001A3625"/>
    <w:rsid w:val="001B0CED"/>
    <w:rsid w:val="001C329D"/>
    <w:rsid w:val="001C6946"/>
    <w:rsid w:val="001C7467"/>
    <w:rsid w:val="001D0298"/>
    <w:rsid w:val="001D1F0B"/>
    <w:rsid w:val="001D2B6D"/>
    <w:rsid w:val="001D664F"/>
    <w:rsid w:val="001E2320"/>
    <w:rsid w:val="001E3748"/>
    <w:rsid w:val="001E6D5E"/>
    <w:rsid w:val="001F3526"/>
    <w:rsid w:val="001F4D5C"/>
    <w:rsid w:val="00220A12"/>
    <w:rsid w:val="00221435"/>
    <w:rsid w:val="00223F86"/>
    <w:rsid w:val="002341BF"/>
    <w:rsid w:val="0023596B"/>
    <w:rsid w:val="00242057"/>
    <w:rsid w:val="00242624"/>
    <w:rsid w:val="00244230"/>
    <w:rsid w:val="00245C75"/>
    <w:rsid w:val="0025063E"/>
    <w:rsid w:val="00252BD0"/>
    <w:rsid w:val="00254520"/>
    <w:rsid w:val="00260B3E"/>
    <w:rsid w:val="002613E1"/>
    <w:rsid w:val="0026364F"/>
    <w:rsid w:val="0027188D"/>
    <w:rsid w:val="00280AE0"/>
    <w:rsid w:val="00282AFB"/>
    <w:rsid w:val="002843E0"/>
    <w:rsid w:val="002865BB"/>
    <w:rsid w:val="00287B9C"/>
    <w:rsid w:val="00290577"/>
    <w:rsid w:val="00292856"/>
    <w:rsid w:val="00296033"/>
    <w:rsid w:val="002A0A01"/>
    <w:rsid w:val="002A4131"/>
    <w:rsid w:val="002B105F"/>
    <w:rsid w:val="002B58F9"/>
    <w:rsid w:val="002C0C69"/>
    <w:rsid w:val="002C4429"/>
    <w:rsid w:val="002D1DFA"/>
    <w:rsid w:val="002D3C7D"/>
    <w:rsid w:val="002D5627"/>
    <w:rsid w:val="002E1C28"/>
    <w:rsid w:val="002E459B"/>
    <w:rsid w:val="002E4EF6"/>
    <w:rsid w:val="002E684E"/>
    <w:rsid w:val="002F649E"/>
    <w:rsid w:val="00302B59"/>
    <w:rsid w:val="00305C46"/>
    <w:rsid w:val="00314AB2"/>
    <w:rsid w:val="0032005B"/>
    <w:rsid w:val="003214E9"/>
    <w:rsid w:val="0032775C"/>
    <w:rsid w:val="003368D1"/>
    <w:rsid w:val="00345B46"/>
    <w:rsid w:val="00352BFB"/>
    <w:rsid w:val="003616CE"/>
    <w:rsid w:val="003642BA"/>
    <w:rsid w:val="003649CA"/>
    <w:rsid w:val="0037240C"/>
    <w:rsid w:val="00373F65"/>
    <w:rsid w:val="00375C96"/>
    <w:rsid w:val="00376E74"/>
    <w:rsid w:val="00377554"/>
    <w:rsid w:val="003905F0"/>
    <w:rsid w:val="00393D1F"/>
    <w:rsid w:val="003A200D"/>
    <w:rsid w:val="003A277B"/>
    <w:rsid w:val="003A4D75"/>
    <w:rsid w:val="003A4E0E"/>
    <w:rsid w:val="003C2A77"/>
    <w:rsid w:val="003C7D77"/>
    <w:rsid w:val="003D0DD2"/>
    <w:rsid w:val="003D5F68"/>
    <w:rsid w:val="003D6F23"/>
    <w:rsid w:val="003E4521"/>
    <w:rsid w:val="003F4147"/>
    <w:rsid w:val="003F67FB"/>
    <w:rsid w:val="00403D18"/>
    <w:rsid w:val="00406473"/>
    <w:rsid w:val="004108A8"/>
    <w:rsid w:val="00410EF2"/>
    <w:rsid w:val="004130E5"/>
    <w:rsid w:val="004131A9"/>
    <w:rsid w:val="0042698A"/>
    <w:rsid w:val="00430BE2"/>
    <w:rsid w:val="004342B7"/>
    <w:rsid w:val="00443BFC"/>
    <w:rsid w:val="0044558B"/>
    <w:rsid w:val="004471A3"/>
    <w:rsid w:val="00452067"/>
    <w:rsid w:val="0045728C"/>
    <w:rsid w:val="00461EDA"/>
    <w:rsid w:val="004652CF"/>
    <w:rsid w:val="00466EB0"/>
    <w:rsid w:val="00483DB2"/>
    <w:rsid w:val="00484704"/>
    <w:rsid w:val="004855EA"/>
    <w:rsid w:val="00495819"/>
    <w:rsid w:val="004A0406"/>
    <w:rsid w:val="004A21C6"/>
    <w:rsid w:val="004A4F18"/>
    <w:rsid w:val="004C4050"/>
    <w:rsid w:val="004C50FD"/>
    <w:rsid w:val="004E1D00"/>
    <w:rsid w:val="004E5CCB"/>
    <w:rsid w:val="004E60AB"/>
    <w:rsid w:val="004E755C"/>
    <w:rsid w:val="004F38BB"/>
    <w:rsid w:val="0050626A"/>
    <w:rsid w:val="00507EC7"/>
    <w:rsid w:val="005100EC"/>
    <w:rsid w:val="00520137"/>
    <w:rsid w:val="005224DF"/>
    <w:rsid w:val="00531CB0"/>
    <w:rsid w:val="00535CFF"/>
    <w:rsid w:val="00535DDC"/>
    <w:rsid w:val="00552D52"/>
    <w:rsid w:val="00562996"/>
    <w:rsid w:val="005706B2"/>
    <w:rsid w:val="005773FE"/>
    <w:rsid w:val="00581DE9"/>
    <w:rsid w:val="0058545B"/>
    <w:rsid w:val="005870AB"/>
    <w:rsid w:val="005A1DF6"/>
    <w:rsid w:val="005B6FBE"/>
    <w:rsid w:val="005C2175"/>
    <w:rsid w:val="005C537B"/>
    <w:rsid w:val="005D1653"/>
    <w:rsid w:val="005D4DA0"/>
    <w:rsid w:val="005F00B4"/>
    <w:rsid w:val="005F1C4D"/>
    <w:rsid w:val="005F613B"/>
    <w:rsid w:val="005F657A"/>
    <w:rsid w:val="00603060"/>
    <w:rsid w:val="00604114"/>
    <w:rsid w:val="00607EA4"/>
    <w:rsid w:val="00621A4E"/>
    <w:rsid w:val="00621B1C"/>
    <w:rsid w:val="00623B34"/>
    <w:rsid w:val="006379A0"/>
    <w:rsid w:val="006379DF"/>
    <w:rsid w:val="00641293"/>
    <w:rsid w:val="00646CAA"/>
    <w:rsid w:val="00662E60"/>
    <w:rsid w:val="00663B69"/>
    <w:rsid w:val="00664126"/>
    <w:rsid w:val="00664914"/>
    <w:rsid w:val="00666166"/>
    <w:rsid w:val="00670DC0"/>
    <w:rsid w:val="0067316B"/>
    <w:rsid w:val="00676B13"/>
    <w:rsid w:val="00677D0F"/>
    <w:rsid w:val="00683CE1"/>
    <w:rsid w:val="00691B80"/>
    <w:rsid w:val="006A2899"/>
    <w:rsid w:val="006A5530"/>
    <w:rsid w:val="006A6383"/>
    <w:rsid w:val="006B4212"/>
    <w:rsid w:val="006C109C"/>
    <w:rsid w:val="006C429F"/>
    <w:rsid w:val="006D3848"/>
    <w:rsid w:val="006D5D99"/>
    <w:rsid w:val="006E0A48"/>
    <w:rsid w:val="006E166F"/>
    <w:rsid w:val="006E5119"/>
    <w:rsid w:val="006F1322"/>
    <w:rsid w:val="006F46B5"/>
    <w:rsid w:val="006F69B9"/>
    <w:rsid w:val="00712A27"/>
    <w:rsid w:val="0071358B"/>
    <w:rsid w:val="00716F81"/>
    <w:rsid w:val="00720B64"/>
    <w:rsid w:val="00720D24"/>
    <w:rsid w:val="00720E1A"/>
    <w:rsid w:val="00722F40"/>
    <w:rsid w:val="0072356D"/>
    <w:rsid w:val="00724400"/>
    <w:rsid w:val="00725AF7"/>
    <w:rsid w:val="0073038F"/>
    <w:rsid w:val="007325E1"/>
    <w:rsid w:val="0073723B"/>
    <w:rsid w:val="00737CF7"/>
    <w:rsid w:val="00741051"/>
    <w:rsid w:val="0074532B"/>
    <w:rsid w:val="00762E81"/>
    <w:rsid w:val="00763CE9"/>
    <w:rsid w:val="00764748"/>
    <w:rsid w:val="00767912"/>
    <w:rsid w:val="00771444"/>
    <w:rsid w:val="00790A85"/>
    <w:rsid w:val="0079229E"/>
    <w:rsid w:val="00792689"/>
    <w:rsid w:val="0079301C"/>
    <w:rsid w:val="00793B63"/>
    <w:rsid w:val="00793DA2"/>
    <w:rsid w:val="007A36AB"/>
    <w:rsid w:val="007A62AC"/>
    <w:rsid w:val="007A7E98"/>
    <w:rsid w:val="007D1778"/>
    <w:rsid w:val="007D25FE"/>
    <w:rsid w:val="007D3050"/>
    <w:rsid w:val="007E0D2C"/>
    <w:rsid w:val="007E25C3"/>
    <w:rsid w:val="007E2F26"/>
    <w:rsid w:val="007F1DB2"/>
    <w:rsid w:val="007F618F"/>
    <w:rsid w:val="008039AD"/>
    <w:rsid w:val="00804BD8"/>
    <w:rsid w:val="008057DA"/>
    <w:rsid w:val="00807F02"/>
    <w:rsid w:val="00811683"/>
    <w:rsid w:val="00815778"/>
    <w:rsid w:val="00823E40"/>
    <w:rsid w:val="00830D5A"/>
    <w:rsid w:val="00834443"/>
    <w:rsid w:val="008429C3"/>
    <w:rsid w:val="00850056"/>
    <w:rsid w:val="00851517"/>
    <w:rsid w:val="00857EE8"/>
    <w:rsid w:val="00870240"/>
    <w:rsid w:val="00874631"/>
    <w:rsid w:val="00892725"/>
    <w:rsid w:val="00894C9F"/>
    <w:rsid w:val="00896823"/>
    <w:rsid w:val="00897F29"/>
    <w:rsid w:val="008A1F98"/>
    <w:rsid w:val="008B00B3"/>
    <w:rsid w:val="008B4727"/>
    <w:rsid w:val="008B5F64"/>
    <w:rsid w:val="008C165C"/>
    <w:rsid w:val="008C16F5"/>
    <w:rsid w:val="008C3B3B"/>
    <w:rsid w:val="008C63A9"/>
    <w:rsid w:val="008D1562"/>
    <w:rsid w:val="008D1EBA"/>
    <w:rsid w:val="008D51E1"/>
    <w:rsid w:val="008D5729"/>
    <w:rsid w:val="008E3B10"/>
    <w:rsid w:val="008E5A58"/>
    <w:rsid w:val="008E76CC"/>
    <w:rsid w:val="008E7882"/>
    <w:rsid w:val="008F09C2"/>
    <w:rsid w:val="008F0D26"/>
    <w:rsid w:val="008F2DDC"/>
    <w:rsid w:val="008F6CF1"/>
    <w:rsid w:val="00900EE8"/>
    <w:rsid w:val="00901956"/>
    <w:rsid w:val="009059AF"/>
    <w:rsid w:val="00907C98"/>
    <w:rsid w:val="00911CD1"/>
    <w:rsid w:val="00911EDD"/>
    <w:rsid w:val="0091405F"/>
    <w:rsid w:val="00920D1B"/>
    <w:rsid w:val="009230B1"/>
    <w:rsid w:val="00930B4B"/>
    <w:rsid w:val="00932FEB"/>
    <w:rsid w:val="00933C59"/>
    <w:rsid w:val="00951BD4"/>
    <w:rsid w:val="0095237F"/>
    <w:rsid w:val="00954DBE"/>
    <w:rsid w:val="009563AA"/>
    <w:rsid w:val="00957AD5"/>
    <w:rsid w:val="00964159"/>
    <w:rsid w:val="00964A9F"/>
    <w:rsid w:val="00972364"/>
    <w:rsid w:val="009779ED"/>
    <w:rsid w:val="009808AE"/>
    <w:rsid w:val="00981176"/>
    <w:rsid w:val="00983A17"/>
    <w:rsid w:val="00993739"/>
    <w:rsid w:val="00997720"/>
    <w:rsid w:val="009A2B05"/>
    <w:rsid w:val="009A3F64"/>
    <w:rsid w:val="009C79EE"/>
    <w:rsid w:val="009D2759"/>
    <w:rsid w:val="009D2B88"/>
    <w:rsid w:val="009E3343"/>
    <w:rsid w:val="009E4FA7"/>
    <w:rsid w:val="009E73DE"/>
    <w:rsid w:val="009F7026"/>
    <w:rsid w:val="00A06CE0"/>
    <w:rsid w:val="00A13DCE"/>
    <w:rsid w:val="00A15C79"/>
    <w:rsid w:val="00A15C8C"/>
    <w:rsid w:val="00A16815"/>
    <w:rsid w:val="00A240F0"/>
    <w:rsid w:val="00A302D3"/>
    <w:rsid w:val="00A30746"/>
    <w:rsid w:val="00A40352"/>
    <w:rsid w:val="00A44C34"/>
    <w:rsid w:val="00A53538"/>
    <w:rsid w:val="00A54FDF"/>
    <w:rsid w:val="00A5506B"/>
    <w:rsid w:val="00A55CB7"/>
    <w:rsid w:val="00A61AE2"/>
    <w:rsid w:val="00A65C93"/>
    <w:rsid w:val="00A6767A"/>
    <w:rsid w:val="00A67AA1"/>
    <w:rsid w:val="00A7047A"/>
    <w:rsid w:val="00A7325F"/>
    <w:rsid w:val="00A802A6"/>
    <w:rsid w:val="00A83321"/>
    <w:rsid w:val="00A845F3"/>
    <w:rsid w:val="00A86432"/>
    <w:rsid w:val="00A8762B"/>
    <w:rsid w:val="00A930FF"/>
    <w:rsid w:val="00A934C0"/>
    <w:rsid w:val="00A936CD"/>
    <w:rsid w:val="00A97334"/>
    <w:rsid w:val="00A97E22"/>
    <w:rsid w:val="00AA0CCD"/>
    <w:rsid w:val="00AA6935"/>
    <w:rsid w:val="00AB2253"/>
    <w:rsid w:val="00AC16C6"/>
    <w:rsid w:val="00AC3E58"/>
    <w:rsid w:val="00AC711E"/>
    <w:rsid w:val="00AD46E4"/>
    <w:rsid w:val="00AD5A19"/>
    <w:rsid w:val="00AD5E26"/>
    <w:rsid w:val="00AE5222"/>
    <w:rsid w:val="00AF1FD9"/>
    <w:rsid w:val="00B01B2C"/>
    <w:rsid w:val="00B03633"/>
    <w:rsid w:val="00B03FA4"/>
    <w:rsid w:val="00B114B9"/>
    <w:rsid w:val="00B1292D"/>
    <w:rsid w:val="00B12DCE"/>
    <w:rsid w:val="00B2008D"/>
    <w:rsid w:val="00B20C6B"/>
    <w:rsid w:val="00B25CBA"/>
    <w:rsid w:val="00B356D8"/>
    <w:rsid w:val="00B372A2"/>
    <w:rsid w:val="00B435F9"/>
    <w:rsid w:val="00B43B34"/>
    <w:rsid w:val="00B522F0"/>
    <w:rsid w:val="00B554CB"/>
    <w:rsid w:val="00B55E88"/>
    <w:rsid w:val="00B569CF"/>
    <w:rsid w:val="00B57EB2"/>
    <w:rsid w:val="00B61EF5"/>
    <w:rsid w:val="00B674FE"/>
    <w:rsid w:val="00B702FE"/>
    <w:rsid w:val="00B7087E"/>
    <w:rsid w:val="00B776A1"/>
    <w:rsid w:val="00B77963"/>
    <w:rsid w:val="00B779DE"/>
    <w:rsid w:val="00B83CA0"/>
    <w:rsid w:val="00B91B77"/>
    <w:rsid w:val="00B921CC"/>
    <w:rsid w:val="00B929F8"/>
    <w:rsid w:val="00B932FA"/>
    <w:rsid w:val="00B94AAB"/>
    <w:rsid w:val="00B9610F"/>
    <w:rsid w:val="00BA32B6"/>
    <w:rsid w:val="00BA3727"/>
    <w:rsid w:val="00BA39CD"/>
    <w:rsid w:val="00BA6DE1"/>
    <w:rsid w:val="00BB1FCC"/>
    <w:rsid w:val="00BB2128"/>
    <w:rsid w:val="00BB5D23"/>
    <w:rsid w:val="00BB7676"/>
    <w:rsid w:val="00BC073A"/>
    <w:rsid w:val="00BC13F0"/>
    <w:rsid w:val="00BC3052"/>
    <w:rsid w:val="00BC5380"/>
    <w:rsid w:val="00BC6041"/>
    <w:rsid w:val="00BD0833"/>
    <w:rsid w:val="00BD34E1"/>
    <w:rsid w:val="00BD4311"/>
    <w:rsid w:val="00BD7249"/>
    <w:rsid w:val="00BD7719"/>
    <w:rsid w:val="00BE26F8"/>
    <w:rsid w:val="00BE319C"/>
    <w:rsid w:val="00BF6D1F"/>
    <w:rsid w:val="00C038F0"/>
    <w:rsid w:val="00C1170E"/>
    <w:rsid w:val="00C11AF5"/>
    <w:rsid w:val="00C13608"/>
    <w:rsid w:val="00C13F66"/>
    <w:rsid w:val="00C144CD"/>
    <w:rsid w:val="00C160EA"/>
    <w:rsid w:val="00C16D1E"/>
    <w:rsid w:val="00C17BDD"/>
    <w:rsid w:val="00C20FBD"/>
    <w:rsid w:val="00C2247D"/>
    <w:rsid w:val="00C23AD3"/>
    <w:rsid w:val="00C268F2"/>
    <w:rsid w:val="00C33F21"/>
    <w:rsid w:val="00C37AB9"/>
    <w:rsid w:val="00C40C74"/>
    <w:rsid w:val="00C54D2F"/>
    <w:rsid w:val="00C55235"/>
    <w:rsid w:val="00C65F1F"/>
    <w:rsid w:val="00C676AD"/>
    <w:rsid w:val="00C7058A"/>
    <w:rsid w:val="00C71510"/>
    <w:rsid w:val="00C718E0"/>
    <w:rsid w:val="00C73691"/>
    <w:rsid w:val="00C75538"/>
    <w:rsid w:val="00C77EB8"/>
    <w:rsid w:val="00C841F4"/>
    <w:rsid w:val="00C86476"/>
    <w:rsid w:val="00CA01FE"/>
    <w:rsid w:val="00CA0723"/>
    <w:rsid w:val="00CA18F4"/>
    <w:rsid w:val="00CA29AE"/>
    <w:rsid w:val="00CA35AE"/>
    <w:rsid w:val="00CA3CD1"/>
    <w:rsid w:val="00CA5B23"/>
    <w:rsid w:val="00CA6057"/>
    <w:rsid w:val="00CB20E7"/>
    <w:rsid w:val="00CB29CE"/>
    <w:rsid w:val="00CC0DD5"/>
    <w:rsid w:val="00CD3BAA"/>
    <w:rsid w:val="00CD6F4D"/>
    <w:rsid w:val="00CD6FED"/>
    <w:rsid w:val="00CE01B6"/>
    <w:rsid w:val="00CE251F"/>
    <w:rsid w:val="00CE5B3B"/>
    <w:rsid w:val="00CF0B07"/>
    <w:rsid w:val="00CF4586"/>
    <w:rsid w:val="00D02DC9"/>
    <w:rsid w:val="00D033A2"/>
    <w:rsid w:val="00D0758B"/>
    <w:rsid w:val="00D11045"/>
    <w:rsid w:val="00D11076"/>
    <w:rsid w:val="00D210FB"/>
    <w:rsid w:val="00D23187"/>
    <w:rsid w:val="00D25464"/>
    <w:rsid w:val="00D30D45"/>
    <w:rsid w:val="00D3443C"/>
    <w:rsid w:val="00D34499"/>
    <w:rsid w:val="00D369DD"/>
    <w:rsid w:val="00D46BF2"/>
    <w:rsid w:val="00D50427"/>
    <w:rsid w:val="00D50601"/>
    <w:rsid w:val="00D52143"/>
    <w:rsid w:val="00D54078"/>
    <w:rsid w:val="00D57C0E"/>
    <w:rsid w:val="00D57D4C"/>
    <w:rsid w:val="00D57DBB"/>
    <w:rsid w:val="00D6179E"/>
    <w:rsid w:val="00D66EA7"/>
    <w:rsid w:val="00D717BC"/>
    <w:rsid w:val="00D71F05"/>
    <w:rsid w:val="00D73721"/>
    <w:rsid w:val="00D74287"/>
    <w:rsid w:val="00D76AEA"/>
    <w:rsid w:val="00D83D4B"/>
    <w:rsid w:val="00D9501E"/>
    <w:rsid w:val="00DB1198"/>
    <w:rsid w:val="00DB4B29"/>
    <w:rsid w:val="00DC272D"/>
    <w:rsid w:val="00DD02B5"/>
    <w:rsid w:val="00DD6103"/>
    <w:rsid w:val="00DE7747"/>
    <w:rsid w:val="00DF01BB"/>
    <w:rsid w:val="00E023BF"/>
    <w:rsid w:val="00E215F4"/>
    <w:rsid w:val="00E24C5A"/>
    <w:rsid w:val="00E25FB5"/>
    <w:rsid w:val="00E3077B"/>
    <w:rsid w:val="00E31979"/>
    <w:rsid w:val="00E40CF0"/>
    <w:rsid w:val="00E429A4"/>
    <w:rsid w:val="00E4378F"/>
    <w:rsid w:val="00E620E0"/>
    <w:rsid w:val="00E65873"/>
    <w:rsid w:val="00E65897"/>
    <w:rsid w:val="00E66438"/>
    <w:rsid w:val="00E67A67"/>
    <w:rsid w:val="00E73360"/>
    <w:rsid w:val="00E76D3A"/>
    <w:rsid w:val="00E76F82"/>
    <w:rsid w:val="00E901E4"/>
    <w:rsid w:val="00E92771"/>
    <w:rsid w:val="00E96507"/>
    <w:rsid w:val="00EA0377"/>
    <w:rsid w:val="00EA5225"/>
    <w:rsid w:val="00EA5AF5"/>
    <w:rsid w:val="00EA6582"/>
    <w:rsid w:val="00EA7C45"/>
    <w:rsid w:val="00EB0F58"/>
    <w:rsid w:val="00EC619F"/>
    <w:rsid w:val="00EC7884"/>
    <w:rsid w:val="00ED0187"/>
    <w:rsid w:val="00ED5BC3"/>
    <w:rsid w:val="00ED6B2F"/>
    <w:rsid w:val="00ED7155"/>
    <w:rsid w:val="00EE03AA"/>
    <w:rsid w:val="00EE05AD"/>
    <w:rsid w:val="00EE2658"/>
    <w:rsid w:val="00EE32BF"/>
    <w:rsid w:val="00F13F70"/>
    <w:rsid w:val="00F210B1"/>
    <w:rsid w:val="00F224CA"/>
    <w:rsid w:val="00F23A29"/>
    <w:rsid w:val="00F246A2"/>
    <w:rsid w:val="00F25AE7"/>
    <w:rsid w:val="00F27569"/>
    <w:rsid w:val="00F32CDA"/>
    <w:rsid w:val="00F40A16"/>
    <w:rsid w:val="00F42689"/>
    <w:rsid w:val="00F43C41"/>
    <w:rsid w:val="00F50082"/>
    <w:rsid w:val="00F50ED8"/>
    <w:rsid w:val="00F51BBA"/>
    <w:rsid w:val="00F54BFE"/>
    <w:rsid w:val="00F56BB3"/>
    <w:rsid w:val="00F67675"/>
    <w:rsid w:val="00F72433"/>
    <w:rsid w:val="00F77AEB"/>
    <w:rsid w:val="00F85DFB"/>
    <w:rsid w:val="00F863F9"/>
    <w:rsid w:val="00F915CF"/>
    <w:rsid w:val="00F96647"/>
    <w:rsid w:val="00F97B05"/>
    <w:rsid w:val="00FB155B"/>
    <w:rsid w:val="00FB7988"/>
    <w:rsid w:val="00FC2784"/>
    <w:rsid w:val="00FC3F60"/>
    <w:rsid w:val="00FC4518"/>
    <w:rsid w:val="00FD7980"/>
    <w:rsid w:val="00FE0F2A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C6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A39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9CD"/>
  </w:style>
  <w:style w:type="paragraph" w:styleId="a9">
    <w:name w:val="footer"/>
    <w:basedOn w:val="a"/>
    <w:link w:val="aa"/>
    <w:uiPriority w:val="99"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9CD"/>
  </w:style>
  <w:style w:type="character" w:customStyle="1" w:styleId="a6">
    <w:name w:val="Абзац списка Знак"/>
    <w:basedOn w:val="a0"/>
    <w:link w:val="a5"/>
    <w:uiPriority w:val="34"/>
    <w:locked/>
    <w:rsid w:val="00EA5AF5"/>
  </w:style>
  <w:style w:type="table" w:styleId="-5">
    <w:name w:val="Light Shading Accent 5"/>
    <w:basedOn w:val="a1"/>
    <w:uiPriority w:val="60"/>
    <w:rsid w:val="00F32C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F32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F32C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0270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Table Grid"/>
    <w:basedOn w:val="a1"/>
    <w:uiPriority w:val="59"/>
    <w:rsid w:val="00CF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8117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unhideWhenUsed/>
    <w:rsid w:val="0062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6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13">
    <w:name w:val="Светлая заливка - Акцент 13"/>
    <w:basedOn w:val="a1"/>
    <w:uiPriority w:val="60"/>
    <w:rsid w:val="002D56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List Accent 5"/>
    <w:basedOn w:val="a1"/>
    <w:uiPriority w:val="61"/>
    <w:rsid w:val="002D56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D74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706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847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470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47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47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47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C6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A39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9CD"/>
  </w:style>
  <w:style w:type="paragraph" w:styleId="a9">
    <w:name w:val="footer"/>
    <w:basedOn w:val="a"/>
    <w:link w:val="aa"/>
    <w:uiPriority w:val="99"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9CD"/>
  </w:style>
  <w:style w:type="character" w:customStyle="1" w:styleId="a6">
    <w:name w:val="Абзац списка Знак"/>
    <w:basedOn w:val="a0"/>
    <w:link w:val="a5"/>
    <w:uiPriority w:val="34"/>
    <w:locked/>
    <w:rsid w:val="00EA5AF5"/>
  </w:style>
  <w:style w:type="table" w:styleId="-5">
    <w:name w:val="Light Shading Accent 5"/>
    <w:basedOn w:val="a1"/>
    <w:uiPriority w:val="60"/>
    <w:rsid w:val="00F32C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F32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F32C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0270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Table Grid"/>
    <w:basedOn w:val="a1"/>
    <w:uiPriority w:val="59"/>
    <w:rsid w:val="00CF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8117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unhideWhenUsed/>
    <w:rsid w:val="0062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6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13">
    <w:name w:val="Светлая заливка - Акцент 13"/>
    <w:basedOn w:val="a1"/>
    <w:uiPriority w:val="60"/>
    <w:rsid w:val="002D56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List Accent 5"/>
    <w:basedOn w:val="a1"/>
    <w:uiPriority w:val="61"/>
    <w:rsid w:val="002D56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D74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706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847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470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47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47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47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Размер собственного капитала, млрд. тенге</a:t>
            </a:r>
          </a:p>
        </c:rich>
      </c:tx>
      <c:layout>
        <c:manualLayout>
          <c:xMode val="edge"/>
          <c:yMode val="edge"/>
          <c:x val="0.2188867994765943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3678948436479"/>
          <c:y val="8.8737630384329885E-2"/>
          <c:w val="0.81099822492525964"/>
          <c:h val="0.80831894256535675"/>
        </c:manualLayout>
      </c:layout>
      <c:lineChart>
        <c:grouping val="standard"/>
        <c:varyColors val="0"/>
        <c:ser>
          <c:idx val="0"/>
          <c:order val="0"/>
          <c:tx>
            <c:strRef>
              <c:f>Капит!$B$2</c:f>
              <c:strCache>
                <c:ptCount val="1"/>
                <c:pt idx="0">
                  <c:v>Размер собственного капитала (итого капитал)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square"/>
            <c:size val="6"/>
            <c:spPr>
              <a:solidFill>
                <a:schemeClr val="tx1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Капит!$F$1:$L$1</c:f>
              <c:strCache>
                <c:ptCount val="7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  <c:pt idx="5">
                  <c:v>2017 г.</c:v>
                </c:pt>
                <c:pt idx="6">
                  <c:v>2018 г.
</c:v>
                </c:pt>
              </c:strCache>
            </c:strRef>
          </c:cat>
          <c:val>
            <c:numRef>
              <c:f>Капит!$F$3:$L$3</c:f>
              <c:numCache>
                <c:formatCode>#,##0</c:formatCode>
                <c:ptCount val="7"/>
                <c:pt idx="0">
                  <c:v>5.6198289999999993</c:v>
                </c:pt>
                <c:pt idx="1">
                  <c:v>214.176219</c:v>
                </c:pt>
                <c:pt idx="2">
                  <c:v>313.48241200000001</c:v>
                </c:pt>
                <c:pt idx="3">
                  <c:v>503.60678200000001</c:v>
                </c:pt>
                <c:pt idx="4">
                  <c:v>550.15662299999997</c:v>
                </c:pt>
                <c:pt idx="5">
                  <c:v>590.84847000000002</c:v>
                </c:pt>
                <c:pt idx="6">
                  <c:v>628.58199999999999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5159680"/>
        <c:axId val="125870848"/>
      </c:lineChart>
      <c:catAx>
        <c:axId val="12515968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5870848"/>
        <c:crosses val="autoZero"/>
        <c:auto val="1"/>
        <c:lblAlgn val="ctr"/>
        <c:lblOffset val="100"/>
        <c:noMultiLvlLbl val="0"/>
      </c:catAx>
      <c:valAx>
        <c:axId val="12587084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1"/>
        <c:majorTickMark val="cross"/>
        <c:minorTickMark val="cross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5159680"/>
        <c:crosses val="autoZero"/>
        <c:crossBetween val="between"/>
      </c:valAx>
      <c:spPr>
        <a:noFill/>
        <a:ln w="9525">
          <a:solidFill>
            <a:schemeClr val="tx2"/>
          </a:solidFill>
        </a:ln>
      </c:spPr>
    </c:plotArea>
    <c:plotVisOnly val="1"/>
    <c:dispBlanksAs val="gap"/>
    <c:showDLblsOverMax val="0"/>
  </c:chart>
  <c:txPr>
    <a:bodyPr/>
    <a:lstStyle/>
    <a:p>
      <a:pPr>
        <a:defRPr sz="16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5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'ДохРасх (2)'!$A$5</c:f>
              <c:strCache>
                <c:ptCount val="1"/>
                <c:pt idx="0">
                  <c:v>Общие доходы, млрд. тенге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37512973612554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703238519109848E-2"/>
                  <c:y val="8.42548570105514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734585821204005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047020953141234E-2"/>
                  <c:y val="4.2127428505275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390851289584047E-2"/>
                  <c:y val="-1.703414908795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375129736125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110610287749562E-2"/>
                  <c:y val="-1.58664453415533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 rot="-2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'ДохРасх (2)'!$B$4:$H$4</c:f>
              <c:strCache>
                <c:ptCount val="7"/>
                <c:pt idx="0">
                  <c:v>Факт
2016 г.</c:v>
                </c:pt>
                <c:pt idx="1">
                  <c:v>Факт
2017 г.</c:v>
                </c:pt>
                <c:pt idx="2">
                  <c:v>Факт
2018 г.</c:v>
                </c:pt>
                <c:pt idx="3">
                  <c:v>Прогноз
2019 г.</c:v>
                </c:pt>
                <c:pt idx="4">
                  <c:v>Прогноз
2020 г.</c:v>
                </c:pt>
                <c:pt idx="5">
                  <c:v>Прогноз
2021 г.</c:v>
                </c:pt>
                <c:pt idx="6">
                  <c:v>Прогноз
2022 г.</c:v>
                </c:pt>
              </c:strCache>
            </c:strRef>
          </c:cat>
          <c:val>
            <c:numRef>
              <c:f>'ДохРасх (2)'!$B$5:$H$5</c:f>
              <c:numCache>
                <c:formatCode>#,##0</c:formatCode>
                <c:ptCount val="7"/>
                <c:pt idx="0">
                  <c:v>168.92554000000001</c:v>
                </c:pt>
                <c:pt idx="1">
                  <c:v>210.33532600000001</c:v>
                </c:pt>
                <c:pt idx="2">
                  <c:v>273.15671900000001</c:v>
                </c:pt>
                <c:pt idx="3">
                  <c:v>326.3382108271619</c:v>
                </c:pt>
                <c:pt idx="4">
                  <c:v>11.982773746535106</c:v>
                </c:pt>
                <c:pt idx="5">
                  <c:v>63.906203310491634</c:v>
                </c:pt>
                <c:pt idx="6">
                  <c:v>128.43169991706409</c:v>
                </c:pt>
              </c:numCache>
            </c:numRef>
          </c:val>
        </c:ser>
        <c:ser>
          <c:idx val="1"/>
          <c:order val="1"/>
          <c:tx>
            <c:strRef>
              <c:f>'ДохРасх (2)'!$A$6</c:f>
              <c:strCache>
                <c:ptCount val="1"/>
                <c:pt idx="0">
                  <c:v>Общие расходы, млрд. тенге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703238519109848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062694604188313E-2"/>
                  <c:y val="2.1063714252637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47020953141234E-2"/>
                  <c:y val="2.527645710316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693151628695987E-2"/>
                  <c:y val="5.1971978441623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174204744317396E-2"/>
                  <c:y val="-2.2437902231047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3594560850784629E-3"/>
                  <c:y val="1.2638228551582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390803387172618E-2"/>
                  <c:y val="1.6850971402110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'ДохРасх (2)'!$B$4:$H$4</c:f>
              <c:strCache>
                <c:ptCount val="7"/>
                <c:pt idx="0">
                  <c:v>Факт
2016 г.</c:v>
                </c:pt>
                <c:pt idx="1">
                  <c:v>Факт
2017 г.</c:v>
                </c:pt>
                <c:pt idx="2">
                  <c:v>Факт
2018 г.</c:v>
                </c:pt>
                <c:pt idx="3">
                  <c:v>Прогноз
2019 г.</c:v>
                </c:pt>
                <c:pt idx="4">
                  <c:v>Прогноз
2020 г.</c:v>
                </c:pt>
                <c:pt idx="5">
                  <c:v>Прогноз
2021 г.</c:v>
                </c:pt>
                <c:pt idx="6">
                  <c:v>Прогноз
2022 г.</c:v>
                </c:pt>
              </c:strCache>
            </c:strRef>
          </c:cat>
          <c:val>
            <c:numRef>
              <c:f>'ДохРасх (2)'!$B$6:$H$6</c:f>
              <c:numCache>
                <c:formatCode>#,##0</c:formatCode>
                <c:ptCount val="7"/>
                <c:pt idx="0">
                  <c:v>168.73670300000001</c:v>
                </c:pt>
                <c:pt idx="1">
                  <c:v>211.83406600000001</c:v>
                </c:pt>
                <c:pt idx="2">
                  <c:v>281.15766200000002</c:v>
                </c:pt>
                <c:pt idx="3">
                  <c:v>329.08783228463523</c:v>
                </c:pt>
                <c:pt idx="4">
                  <c:v>21.868959841640116</c:v>
                </c:pt>
                <c:pt idx="5">
                  <c:v>58.724439174282018</c:v>
                </c:pt>
                <c:pt idx="6">
                  <c:v>93.19955558877956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001408"/>
        <c:axId val="222003200"/>
        <c:axId val="0"/>
      </c:bar3DChart>
      <c:catAx>
        <c:axId val="2220014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2003200"/>
        <c:crosses val="autoZero"/>
        <c:auto val="1"/>
        <c:lblAlgn val="ctr"/>
        <c:lblOffset val="100"/>
        <c:noMultiLvlLbl val="0"/>
      </c:catAx>
      <c:valAx>
        <c:axId val="22200320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222001408"/>
        <c:crosses val="autoZero"/>
        <c:crossBetween val="between"/>
      </c:valAx>
    </c:plotArea>
    <c:legend>
      <c:legendPos val="b"/>
      <c:overlay val="0"/>
      <c:spPr>
        <a:effectLst>
          <a:glow rad="914400">
            <a:schemeClr val="accent1">
              <a:alpha val="40000"/>
            </a:schemeClr>
          </a:glow>
        </a:effectLst>
      </c:spPr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E610B-BCFA-4B17-A938-D0A98716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1603</Words>
  <Characters>9143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Mukaramov_B</dc:creator>
  <cp:lastModifiedBy>Пользователь Windows</cp:lastModifiedBy>
  <cp:revision>3</cp:revision>
  <cp:lastPrinted>2019-03-12T11:06:00Z</cp:lastPrinted>
  <dcterms:created xsi:type="dcterms:W3CDTF">2019-04-23T10:10:00Z</dcterms:created>
  <dcterms:modified xsi:type="dcterms:W3CDTF">2020-04-01T07:07:00Z</dcterms:modified>
</cp:coreProperties>
</file>