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F6" w:rsidRPr="005C7374" w:rsidRDefault="00F32CDA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5C737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ау-Кен </w:t>
      </w:r>
      <w:proofErr w:type="spellStart"/>
      <w:r w:rsidR="001D664F" w:rsidRPr="005C7374">
        <w:rPr>
          <w:rFonts w:ascii="Times New Roman" w:hAnsi="Times New Roman" w:cs="Times New Roman"/>
          <w:b/>
          <w:sz w:val="26"/>
          <w:szCs w:val="26"/>
        </w:rPr>
        <w:t>Самрук</w:t>
      </w:r>
      <w:proofErr w:type="spellEnd"/>
      <w:r w:rsidR="001D664F" w:rsidRPr="005C7374">
        <w:rPr>
          <w:rFonts w:ascii="Times New Roman" w:hAnsi="Times New Roman" w:cs="Times New Roman"/>
          <w:b/>
          <w:sz w:val="26"/>
          <w:szCs w:val="26"/>
        </w:rPr>
        <w:t>» за</w:t>
      </w:r>
      <w:r w:rsidR="00D264EA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231C" w:rsidRPr="00F9231C">
        <w:rPr>
          <w:rFonts w:ascii="Times New Roman" w:hAnsi="Times New Roman" w:cs="Times New Roman"/>
          <w:b/>
          <w:sz w:val="26"/>
          <w:szCs w:val="26"/>
        </w:rPr>
        <w:t>9</w:t>
      </w:r>
      <w:r w:rsidR="000177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месяцев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C3A51" w:rsidRPr="005C7374">
        <w:rPr>
          <w:rFonts w:ascii="Times New Roman" w:hAnsi="Times New Roman" w:cs="Times New Roman"/>
          <w:b/>
          <w:sz w:val="26"/>
          <w:szCs w:val="26"/>
        </w:rPr>
        <w:t>9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2784" w:rsidRPr="005C7374">
        <w:rPr>
          <w:rFonts w:ascii="Times New Roman" w:hAnsi="Times New Roman" w:cs="Times New Roman"/>
          <w:b/>
          <w:sz w:val="26"/>
          <w:szCs w:val="26"/>
        </w:rPr>
        <w:t>а</w:t>
      </w:r>
    </w:p>
    <w:p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C28" w:rsidRPr="005C7374" w:rsidRDefault="00A53538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:rsidR="00A53538" w:rsidRPr="005C7374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53538" w:rsidRPr="005C7374" w:rsidRDefault="00A5353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098"/>
        <w:gridCol w:w="1202"/>
        <w:gridCol w:w="1540"/>
        <w:gridCol w:w="1320"/>
        <w:gridCol w:w="1200"/>
        <w:gridCol w:w="1200"/>
      </w:tblGrid>
      <w:tr w:rsidR="00094E7A" w:rsidRPr="00094E7A" w:rsidTr="00094E7A">
        <w:trPr>
          <w:trHeight w:val="525"/>
        </w:trPr>
        <w:tc>
          <w:tcPr>
            <w:tcW w:w="31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 2018г.</w:t>
            </w:r>
          </w:p>
        </w:tc>
        <w:tc>
          <w:tcPr>
            <w:tcW w:w="252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 2019 г.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094E7A" w:rsidRPr="00094E7A" w:rsidTr="00094E7A">
        <w:trPr>
          <w:trHeight w:val="315"/>
        </w:trPr>
        <w:tc>
          <w:tcPr>
            <w:tcW w:w="310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94E7A" w:rsidRPr="00094E7A" w:rsidTr="00094E7A">
        <w:trPr>
          <w:trHeight w:val="525"/>
        </w:trPr>
        <w:tc>
          <w:tcPr>
            <w:tcW w:w="3100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аффинажного золота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унций/тонн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643,0/20,7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484,5/15,6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663,0 / 21,3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868,1/27,9</w:t>
            </w:r>
          </w:p>
        </w:tc>
      </w:tr>
      <w:tr w:rsidR="00094E7A" w:rsidRPr="00094E7A" w:rsidTr="00094E7A">
        <w:trPr>
          <w:trHeight w:val="525"/>
        </w:trPr>
        <w:tc>
          <w:tcPr>
            <w:tcW w:w="3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металлургического кремния 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54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11 363</w:t>
            </w:r>
          </w:p>
        </w:tc>
        <w:tc>
          <w:tcPr>
            <w:tcW w:w="13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11 978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10 175</w:t>
            </w:r>
          </w:p>
        </w:tc>
        <w:tc>
          <w:tcPr>
            <w:tcW w:w="120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094E7A" w:rsidRPr="00094E7A" w:rsidRDefault="00094E7A" w:rsidP="0009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15 183</w:t>
            </w:r>
          </w:p>
        </w:tc>
      </w:tr>
    </w:tbl>
    <w:p w:rsidR="00A30746" w:rsidRPr="005C7374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5DF4" w:rsidRPr="005C7374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5B17">
        <w:rPr>
          <w:rFonts w:ascii="Times New Roman" w:hAnsi="Times New Roman" w:cs="Times New Roman"/>
          <w:sz w:val="26"/>
          <w:szCs w:val="26"/>
        </w:rPr>
        <w:t>П</w:t>
      </w:r>
      <w:r w:rsidR="00A53538" w:rsidRPr="00785B17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785B17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785B17">
        <w:rPr>
          <w:rFonts w:ascii="Times New Roman" w:hAnsi="Times New Roman" w:cs="Times New Roman"/>
          <w:sz w:val="26"/>
          <w:szCs w:val="26"/>
        </w:rPr>
        <w:t xml:space="preserve"> </w:t>
      </w:r>
      <w:r w:rsidRPr="00785B17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785B17">
        <w:rPr>
          <w:rFonts w:ascii="Times New Roman" w:hAnsi="Times New Roman" w:cs="Times New Roman"/>
          <w:sz w:val="26"/>
          <w:szCs w:val="26"/>
        </w:rPr>
        <w:t>а</w:t>
      </w:r>
      <w:r w:rsidRPr="00785B17">
        <w:rPr>
          <w:rFonts w:ascii="Times New Roman" w:hAnsi="Times New Roman" w:cs="Times New Roman"/>
          <w:sz w:val="26"/>
          <w:szCs w:val="26"/>
          <w:lang w:val="kk-KZ"/>
        </w:rPr>
        <w:t xml:space="preserve">ффинажном заводе в г. Астана в отчетном периоде </w:t>
      </w:r>
      <w:r w:rsidR="00A53538" w:rsidRPr="00785B17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094E7A">
        <w:rPr>
          <w:rFonts w:ascii="Times New Roman" w:hAnsi="Times New Roman" w:cs="Times New Roman"/>
          <w:sz w:val="26"/>
          <w:szCs w:val="26"/>
        </w:rPr>
        <w:t>663,0</w:t>
      </w:r>
      <w:r w:rsidR="003D5F68" w:rsidRPr="00785B17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785B17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Pr="00785B17">
        <w:rPr>
          <w:rFonts w:ascii="Times New Roman" w:hAnsi="Times New Roman" w:cs="Times New Roman"/>
          <w:sz w:val="26"/>
          <w:szCs w:val="26"/>
        </w:rPr>
        <w:t>(</w:t>
      </w:r>
      <w:r w:rsidR="00094E7A">
        <w:rPr>
          <w:rFonts w:ascii="Times New Roman" w:hAnsi="Times New Roman" w:cs="Times New Roman"/>
          <w:sz w:val="26"/>
          <w:szCs w:val="26"/>
        </w:rPr>
        <w:t>21,3</w:t>
      </w:r>
      <w:r w:rsidR="00A53538" w:rsidRPr="00785B17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785B17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094E7A">
        <w:rPr>
          <w:rFonts w:ascii="Times New Roman" w:hAnsi="Times New Roman" w:cs="Times New Roman"/>
          <w:sz w:val="26"/>
          <w:szCs w:val="26"/>
        </w:rPr>
        <w:t>93,76</w:t>
      </w:r>
      <w:r w:rsidR="003D5F68" w:rsidRPr="00785B17">
        <w:rPr>
          <w:rFonts w:ascii="Times New Roman" w:hAnsi="Times New Roman" w:cs="Times New Roman"/>
          <w:sz w:val="26"/>
          <w:szCs w:val="26"/>
        </w:rPr>
        <w:t xml:space="preserve"> </w:t>
      </w:r>
      <w:r w:rsidRPr="00785B17">
        <w:rPr>
          <w:rFonts w:ascii="Times New Roman" w:hAnsi="Times New Roman" w:cs="Times New Roman"/>
          <w:sz w:val="26"/>
          <w:szCs w:val="26"/>
        </w:rPr>
        <w:t>тыс. унций (</w:t>
      </w:r>
      <w:r w:rsidR="00575C09">
        <w:rPr>
          <w:rFonts w:ascii="Times New Roman" w:hAnsi="Times New Roman" w:cs="Times New Roman"/>
          <w:sz w:val="26"/>
          <w:szCs w:val="26"/>
        </w:rPr>
        <w:t>2,1</w:t>
      </w:r>
      <w:r w:rsidR="00484704" w:rsidRPr="00785B17">
        <w:rPr>
          <w:rFonts w:ascii="Times New Roman" w:hAnsi="Times New Roman" w:cs="Times New Roman"/>
          <w:sz w:val="26"/>
          <w:szCs w:val="26"/>
        </w:rPr>
        <w:t xml:space="preserve"> </w:t>
      </w:r>
      <w:r w:rsidR="00834796" w:rsidRPr="00785B17">
        <w:rPr>
          <w:rFonts w:ascii="Times New Roman" w:hAnsi="Times New Roman" w:cs="Times New Roman"/>
          <w:sz w:val="26"/>
          <w:szCs w:val="26"/>
        </w:rPr>
        <w:t>тонна</w:t>
      </w:r>
      <w:r w:rsidR="00663B69" w:rsidRPr="00785B17">
        <w:rPr>
          <w:rFonts w:ascii="Times New Roman" w:hAnsi="Times New Roman" w:cs="Times New Roman"/>
          <w:sz w:val="26"/>
          <w:szCs w:val="26"/>
        </w:rPr>
        <w:t>) было</w:t>
      </w:r>
      <w:r w:rsidRPr="00785B17">
        <w:rPr>
          <w:rFonts w:ascii="Times New Roman" w:hAnsi="Times New Roman" w:cs="Times New Roman"/>
          <w:sz w:val="26"/>
          <w:szCs w:val="26"/>
        </w:rPr>
        <w:t xml:space="preserve"> переработано из сырья, полученного на давальческой основе (толлинг)</w:t>
      </w:r>
      <w:r w:rsidR="00A53538" w:rsidRPr="00785B17">
        <w:rPr>
          <w:rFonts w:ascii="Times New Roman" w:hAnsi="Times New Roman" w:cs="Times New Roman"/>
          <w:sz w:val="26"/>
          <w:szCs w:val="26"/>
        </w:rPr>
        <w:t>.</w:t>
      </w:r>
      <w:r w:rsidR="002F649E" w:rsidRPr="00785B17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785B17">
        <w:rPr>
          <w:rFonts w:ascii="Times New Roman" w:hAnsi="Times New Roman" w:cs="Times New Roman"/>
          <w:sz w:val="26"/>
          <w:szCs w:val="26"/>
        </w:rPr>
        <w:t>Таким</w:t>
      </w:r>
      <w:r w:rsidR="0027188D" w:rsidRPr="005C7374">
        <w:rPr>
          <w:rFonts w:ascii="Times New Roman" w:hAnsi="Times New Roman" w:cs="Times New Roman"/>
          <w:sz w:val="26"/>
          <w:szCs w:val="26"/>
        </w:rPr>
        <w:t xml:space="preserve"> образом, фактический показатель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производства аффинажного золота за </w:t>
      </w:r>
      <w:r w:rsidR="00094E7A">
        <w:rPr>
          <w:rFonts w:ascii="Times New Roman" w:hAnsi="Times New Roman" w:cs="Times New Roman"/>
          <w:sz w:val="26"/>
          <w:szCs w:val="26"/>
        </w:rPr>
        <w:t>9</w:t>
      </w:r>
      <w:r w:rsidR="00AE0650">
        <w:rPr>
          <w:rFonts w:ascii="Times New Roman" w:hAnsi="Times New Roman" w:cs="Times New Roman"/>
          <w:sz w:val="26"/>
          <w:szCs w:val="26"/>
        </w:rPr>
        <w:t xml:space="preserve"> месяцев 2019</w:t>
      </w:r>
      <w:r w:rsidR="00296033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663B69" w:rsidRPr="005C7374">
        <w:rPr>
          <w:rFonts w:ascii="Times New Roman" w:hAnsi="Times New Roman" w:cs="Times New Roman"/>
          <w:sz w:val="26"/>
          <w:szCs w:val="26"/>
        </w:rPr>
        <w:t>а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B03FA4" w:rsidRPr="005C7374">
        <w:rPr>
          <w:rFonts w:ascii="Times New Roman" w:hAnsi="Times New Roman" w:cs="Times New Roman"/>
          <w:sz w:val="26"/>
          <w:szCs w:val="26"/>
        </w:rPr>
        <w:t>пере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выполнен на </w:t>
      </w:r>
      <w:r w:rsidR="00094E7A">
        <w:rPr>
          <w:rFonts w:ascii="Times New Roman" w:hAnsi="Times New Roman" w:cs="Times New Roman"/>
          <w:sz w:val="26"/>
          <w:szCs w:val="26"/>
        </w:rPr>
        <w:t>37</w:t>
      </w:r>
      <w:r w:rsidR="00B03FA4" w:rsidRPr="005C7374">
        <w:rPr>
          <w:rFonts w:ascii="Times New Roman" w:hAnsi="Times New Roman" w:cs="Times New Roman"/>
          <w:sz w:val="26"/>
          <w:szCs w:val="26"/>
        </w:rPr>
        <w:t xml:space="preserve">% </w:t>
      </w:r>
      <w:r w:rsidR="0027188D" w:rsidRPr="005C7374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="00B03FA4" w:rsidRPr="005C7374">
        <w:rPr>
          <w:rFonts w:ascii="Times New Roman" w:hAnsi="Times New Roman" w:cs="Times New Roman"/>
          <w:sz w:val="26"/>
          <w:szCs w:val="26"/>
        </w:rPr>
        <w:t>к плану.</w:t>
      </w:r>
    </w:p>
    <w:p w:rsidR="00B03FA4" w:rsidRPr="005C7374" w:rsidRDefault="00B03FA4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7374">
        <w:rPr>
          <w:rFonts w:ascii="Times New Roman" w:hAnsi="Times New Roman" w:cs="Times New Roman"/>
          <w:sz w:val="26"/>
          <w:szCs w:val="26"/>
        </w:rPr>
        <w:t>План производства металлургического кремния за</w:t>
      </w:r>
      <w:proofErr w:type="gramEnd"/>
      <w:r w:rsidRPr="005C73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E7A">
        <w:rPr>
          <w:rFonts w:ascii="Times New Roman" w:hAnsi="Times New Roman" w:cs="Times New Roman"/>
          <w:sz w:val="26"/>
          <w:szCs w:val="26"/>
        </w:rPr>
        <w:t>9</w:t>
      </w:r>
      <w:r w:rsidR="006D3F61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55302D" w:rsidRPr="005C7374">
        <w:rPr>
          <w:rFonts w:ascii="Times New Roman" w:hAnsi="Times New Roman" w:cs="Times New Roman"/>
          <w:sz w:val="26"/>
          <w:szCs w:val="26"/>
        </w:rPr>
        <w:t xml:space="preserve"> 2019</w:t>
      </w:r>
      <w:r w:rsidRPr="005C7374">
        <w:rPr>
          <w:rFonts w:ascii="Times New Roman" w:hAnsi="Times New Roman" w:cs="Times New Roman"/>
          <w:sz w:val="26"/>
          <w:szCs w:val="26"/>
        </w:rPr>
        <w:t xml:space="preserve"> года на заводе в г. Караганда в отч</w:t>
      </w:r>
      <w:r w:rsidR="0055302D" w:rsidRPr="005C7374">
        <w:rPr>
          <w:rFonts w:ascii="Times New Roman" w:hAnsi="Times New Roman" w:cs="Times New Roman"/>
          <w:sz w:val="26"/>
          <w:szCs w:val="26"/>
        </w:rPr>
        <w:t xml:space="preserve">етном периоде был исполнен на </w:t>
      </w:r>
      <w:r w:rsidR="00094E7A">
        <w:rPr>
          <w:rFonts w:ascii="Times New Roman" w:hAnsi="Times New Roman" w:cs="Times New Roman"/>
          <w:sz w:val="26"/>
          <w:szCs w:val="26"/>
        </w:rPr>
        <w:t>85</w:t>
      </w:r>
      <w:r w:rsidRPr="005C7374">
        <w:rPr>
          <w:rFonts w:ascii="Times New Roman" w:hAnsi="Times New Roman" w:cs="Times New Roman"/>
          <w:sz w:val="26"/>
          <w:szCs w:val="26"/>
        </w:rPr>
        <w:t>%.</w:t>
      </w:r>
    </w:p>
    <w:p w:rsidR="00604114" w:rsidRPr="00D7739C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9CD" w:rsidRPr="005C7374" w:rsidRDefault="000C6C28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9996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551"/>
        <w:gridCol w:w="1843"/>
        <w:gridCol w:w="1827"/>
      </w:tblGrid>
      <w:tr w:rsidR="00121E0D" w:rsidRPr="005C7374" w:rsidTr="0073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121E0D" w:rsidRPr="005C7374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973" w:type="dxa"/>
            <w:hideMark/>
          </w:tcPr>
          <w:p w:rsidR="00121E0D" w:rsidRPr="005C7374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Ед.изм</w:t>
            </w: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551" w:type="dxa"/>
          </w:tcPr>
          <w:p w:rsidR="0051358F" w:rsidRPr="005C7374" w:rsidRDefault="00BD6566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en-US"/>
              </w:rPr>
              <w:t>9</w:t>
            </w:r>
            <w:r w:rsidR="001841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2018г.</w:t>
            </w:r>
          </w:p>
          <w:p w:rsidR="00121E0D" w:rsidRPr="005C7374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43" w:type="dxa"/>
            <w:hideMark/>
          </w:tcPr>
          <w:p w:rsidR="00C11AF5" w:rsidRPr="005C7374" w:rsidRDefault="00BD6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en-US"/>
              </w:rPr>
              <w:t>9</w:t>
            </w:r>
            <w:r w:rsidR="001841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3A68F4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2019г</w:t>
            </w:r>
            <w:r w:rsidR="00C11AF5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</w:t>
            </w:r>
          </w:p>
          <w:p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201</w:t>
            </w:r>
            <w:r w:rsidR="00800D30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9</w:t>
            </w: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27" w:type="dxa"/>
          </w:tcPr>
          <w:p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201</w:t>
            </w:r>
            <w:r w:rsidR="0032005B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9</w:t>
            </w: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:rsidR="00121E0D" w:rsidRPr="005C7374" w:rsidRDefault="0046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Прогноз</w:t>
            </w:r>
          </w:p>
        </w:tc>
      </w:tr>
      <w:tr w:rsidR="00121E0D" w:rsidRPr="005C7374" w:rsidTr="00121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EBITDA margin*</w:t>
            </w:r>
          </w:p>
        </w:tc>
        <w:tc>
          <w:tcPr>
            <w:tcW w:w="1973" w:type="dxa"/>
            <w:vAlign w:val="center"/>
            <w:hideMark/>
          </w:tcPr>
          <w:p w:rsidR="00121E0D" w:rsidRPr="005C7374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1" w:type="dxa"/>
            <w:vAlign w:val="center"/>
          </w:tcPr>
          <w:p w:rsidR="00121E0D" w:rsidRPr="005C7374" w:rsidRDefault="0044558B" w:rsidP="00BD6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06003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0,</w:t>
            </w:r>
            <w:r w:rsidR="00BD65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75</w:t>
            </w: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121E0D" w:rsidRPr="00BD6566" w:rsidRDefault="0018410D" w:rsidP="00BD6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BD65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1827" w:type="dxa"/>
          </w:tcPr>
          <w:p w:rsidR="00121E0D" w:rsidRPr="005C7374" w:rsidRDefault="007A62AC" w:rsidP="00BD6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D6103"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BD656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21E0D" w:rsidRPr="005C7374" w:rsidTr="00B540E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:rsidR="00121E0D" w:rsidRPr="005C7374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млрд. тенге</w:t>
            </w:r>
          </w:p>
        </w:tc>
        <w:tc>
          <w:tcPr>
            <w:tcW w:w="1551" w:type="dxa"/>
            <w:vAlign w:val="center"/>
          </w:tcPr>
          <w:p w:rsidR="00121E0D" w:rsidRPr="00BD6566" w:rsidRDefault="00BD6566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121E0D" w:rsidRPr="00B540E0" w:rsidRDefault="00BD6566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827" w:type="dxa"/>
            <w:vAlign w:val="center"/>
          </w:tcPr>
          <w:p w:rsidR="00121E0D" w:rsidRPr="00B540E0" w:rsidRDefault="00BD6566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43,2</w:t>
            </w:r>
          </w:p>
        </w:tc>
      </w:tr>
    </w:tbl>
    <w:p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5CCB" w:rsidRPr="00E44E88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За </w:t>
      </w:r>
      <w:r w:rsidR="00CD1BE3">
        <w:rPr>
          <w:rFonts w:ascii="Times New Roman" w:hAnsi="Times New Roman" w:cs="Times New Roman"/>
          <w:sz w:val="26"/>
          <w:szCs w:val="26"/>
        </w:rPr>
        <w:t>9</w:t>
      </w:r>
      <w:r w:rsidR="008F02D5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78419A" w:rsidRPr="005C7374">
        <w:rPr>
          <w:rFonts w:ascii="Times New Roman" w:hAnsi="Times New Roman" w:cs="Times New Roman"/>
          <w:sz w:val="26"/>
          <w:szCs w:val="26"/>
        </w:rPr>
        <w:t xml:space="preserve"> 2019 </w:t>
      </w:r>
      <w:r w:rsidRPr="005C7374">
        <w:rPr>
          <w:rFonts w:ascii="Times New Roman" w:hAnsi="Times New Roman" w:cs="Times New Roman"/>
          <w:sz w:val="26"/>
          <w:szCs w:val="26"/>
        </w:rPr>
        <w:t>год</w:t>
      </w:r>
      <w:r w:rsidR="00DD02B5"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фактический показатель </w:t>
      </w:r>
      <w:r w:rsidRPr="005C7374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C7374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78419A" w:rsidRPr="005C7374">
        <w:rPr>
          <w:rFonts w:ascii="Times New Roman" w:hAnsi="Times New Roman" w:cs="Times New Roman"/>
          <w:sz w:val="26"/>
          <w:szCs w:val="26"/>
        </w:rPr>
        <w:t>0,</w:t>
      </w:r>
      <w:r w:rsidR="00CD1BE3">
        <w:rPr>
          <w:rFonts w:ascii="Times New Roman" w:hAnsi="Times New Roman" w:cs="Times New Roman"/>
          <w:sz w:val="26"/>
          <w:szCs w:val="26"/>
        </w:rPr>
        <w:t>76</w:t>
      </w:r>
      <w:r w:rsidRPr="005C7374">
        <w:rPr>
          <w:rFonts w:ascii="Times New Roman" w:hAnsi="Times New Roman" w:cs="Times New Roman"/>
          <w:sz w:val="26"/>
          <w:szCs w:val="26"/>
        </w:rPr>
        <w:t xml:space="preserve">%. </w:t>
      </w:r>
      <w:r w:rsidR="0078419A" w:rsidRPr="005C7374">
        <w:rPr>
          <w:rFonts w:ascii="Times New Roman" w:hAnsi="Times New Roman" w:cs="Times New Roman"/>
          <w:sz w:val="26"/>
          <w:szCs w:val="26"/>
        </w:rPr>
        <w:t>Положительная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A5B23" w:rsidRPr="005C7374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5C7374">
        <w:rPr>
          <w:rFonts w:ascii="Times New Roman" w:hAnsi="Times New Roman" w:cs="Times New Roman"/>
          <w:sz w:val="26"/>
          <w:szCs w:val="26"/>
        </w:rPr>
        <w:t>показателя EBITDA margin</w:t>
      </w:r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 прошлого года</w:t>
      </w:r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91405F" w:rsidRPr="005C7374">
        <w:rPr>
          <w:rFonts w:ascii="Times New Roman" w:hAnsi="Times New Roman" w:cs="Times New Roman"/>
          <w:sz w:val="26"/>
          <w:szCs w:val="26"/>
        </w:rPr>
        <w:t>обусловлена увеличением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D7739C">
        <w:rPr>
          <w:rFonts w:ascii="Times New Roman" w:hAnsi="Times New Roman" w:cs="Times New Roman"/>
          <w:sz w:val="26"/>
          <w:szCs w:val="26"/>
        </w:rPr>
        <w:t>Операционной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(+</w:t>
      </w:r>
      <w:r w:rsidR="007843B0">
        <w:rPr>
          <w:rFonts w:ascii="Times New Roman" w:hAnsi="Times New Roman" w:cs="Times New Roman"/>
          <w:sz w:val="26"/>
          <w:szCs w:val="26"/>
        </w:rPr>
        <w:t>3,4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D7739C">
        <w:rPr>
          <w:rFonts w:ascii="Times New Roman" w:hAnsi="Times New Roman" w:cs="Times New Roman"/>
          <w:sz w:val="26"/>
          <w:szCs w:val="26"/>
        </w:rPr>
        <w:t xml:space="preserve">(1) увеличения </w:t>
      </w:r>
      <w:r w:rsidR="00D7739C" w:rsidRPr="005C7374">
        <w:rPr>
          <w:rFonts w:ascii="Times New Roman" w:hAnsi="Times New Roman" w:cs="Times New Roman"/>
          <w:sz w:val="26"/>
          <w:szCs w:val="26"/>
        </w:rPr>
        <w:t>Валовой прибыли на (</w:t>
      </w:r>
      <w:r w:rsidR="00882D6D">
        <w:rPr>
          <w:rFonts w:ascii="Times New Roman" w:hAnsi="Times New Roman" w:cs="Times New Roman"/>
          <w:sz w:val="26"/>
          <w:szCs w:val="26"/>
        </w:rPr>
        <w:t>+</w:t>
      </w:r>
      <w:r w:rsidR="007843B0">
        <w:rPr>
          <w:rFonts w:ascii="Times New Roman" w:hAnsi="Times New Roman" w:cs="Times New Roman"/>
          <w:sz w:val="26"/>
          <w:szCs w:val="26"/>
        </w:rPr>
        <w:t>3,6</w:t>
      </w:r>
      <w:r w:rsidR="00E44E88">
        <w:rPr>
          <w:rFonts w:ascii="Times New Roman" w:hAnsi="Times New Roman" w:cs="Times New Roman"/>
          <w:sz w:val="26"/>
          <w:szCs w:val="26"/>
        </w:rPr>
        <w:t xml:space="preserve"> </w:t>
      </w:r>
      <w:r w:rsidR="00D7739C" w:rsidRPr="005C7374">
        <w:rPr>
          <w:rFonts w:ascii="Times New Roman" w:hAnsi="Times New Roman" w:cs="Times New Roman"/>
          <w:sz w:val="26"/>
          <w:szCs w:val="26"/>
        </w:rPr>
        <w:t>млрд. тенге)</w:t>
      </w:r>
      <w:r w:rsidR="00D7739C">
        <w:rPr>
          <w:rFonts w:ascii="Times New Roman" w:hAnsi="Times New Roman" w:cs="Times New Roman"/>
          <w:sz w:val="26"/>
          <w:szCs w:val="26"/>
        </w:rPr>
        <w:t xml:space="preserve">, (2) </w:t>
      </w:r>
      <w:r w:rsidR="002D621B">
        <w:rPr>
          <w:rFonts w:ascii="Times New Roman" w:hAnsi="Times New Roman" w:cs="Times New Roman"/>
          <w:sz w:val="26"/>
          <w:szCs w:val="26"/>
        </w:rPr>
        <w:t>уменьшением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Общих и административных расходов </w:t>
      </w:r>
      <w:r w:rsidR="00800D30" w:rsidRPr="005C7374">
        <w:rPr>
          <w:rFonts w:ascii="Times New Roman" w:hAnsi="Times New Roman" w:cs="Times New Roman"/>
          <w:sz w:val="26"/>
          <w:szCs w:val="26"/>
        </w:rPr>
        <w:t>(</w:t>
      </w:r>
      <w:r w:rsidR="00D05FA1">
        <w:rPr>
          <w:rFonts w:ascii="Times New Roman" w:hAnsi="Times New Roman" w:cs="Times New Roman"/>
          <w:sz w:val="26"/>
          <w:szCs w:val="26"/>
          <w:lang w:val="kk-KZ"/>
        </w:rPr>
        <w:t>+</w:t>
      </w:r>
      <w:r w:rsidR="00800D30" w:rsidRPr="005C7374">
        <w:rPr>
          <w:rFonts w:ascii="Times New Roman" w:hAnsi="Times New Roman" w:cs="Times New Roman"/>
          <w:sz w:val="26"/>
          <w:szCs w:val="26"/>
        </w:rPr>
        <w:t>0,</w:t>
      </w:r>
      <w:r w:rsidR="007843B0">
        <w:rPr>
          <w:rFonts w:ascii="Times New Roman" w:hAnsi="Times New Roman" w:cs="Times New Roman"/>
          <w:sz w:val="26"/>
          <w:szCs w:val="26"/>
        </w:rPr>
        <w:t>2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</w:t>
      </w:r>
      <w:r w:rsidR="008F0D26" w:rsidRPr="005C7374">
        <w:rPr>
          <w:rFonts w:ascii="Times New Roman" w:hAnsi="Times New Roman" w:cs="Times New Roman"/>
          <w:sz w:val="26"/>
          <w:szCs w:val="26"/>
        </w:rPr>
        <w:t>. тенге)</w:t>
      </w:r>
      <w:r w:rsidR="00607EA4" w:rsidRPr="005C7374">
        <w:rPr>
          <w:rFonts w:ascii="Times New Roman" w:hAnsi="Times New Roman" w:cs="Times New Roman"/>
          <w:sz w:val="26"/>
          <w:szCs w:val="26"/>
        </w:rPr>
        <w:t>.</w:t>
      </w:r>
    </w:p>
    <w:p w:rsidR="00CA18F4" w:rsidRDefault="00725AF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Снижение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1B251A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E96507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>мл</w:t>
      </w:r>
      <w:r w:rsidR="00A54FDF" w:rsidRPr="005C7374">
        <w:rPr>
          <w:rFonts w:ascii="Times New Roman" w:hAnsi="Times New Roman" w:cs="Times New Roman"/>
          <w:sz w:val="26"/>
          <w:szCs w:val="26"/>
        </w:rPr>
        <w:t>рд</w:t>
      </w:r>
      <w:r w:rsidR="00C17BDD" w:rsidRPr="005C7374">
        <w:rPr>
          <w:rFonts w:ascii="Times New Roman" w:hAnsi="Times New Roman" w:cs="Times New Roman"/>
          <w:sz w:val="26"/>
          <w:szCs w:val="26"/>
        </w:rPr>
        <w:t>. тенге</w:t>
      </w:r>
      <w:r w:rsidRPr="005C7374">
        <w:rPr>
          <w:rFonts w:ascii="Times New Roman" w:hAnsi="Times New Roman" w:cs="Times New Roman"/>
          <w:sz w:val="26"/>
          <w:szCs w:val="26"/>
        </w:rPr>
        <w:t xml:space="preserve"> за </w:t>
      </w:r>
      <w:r w:rsidR="007843B0">
        <w:rPr>
          <w:rFonts w:ascii="Times New Roman" w:hAnsi="Times New Roman" w:cs="Times New Roman"/>
          <w:sz w:val="26"/>
          <w:szCs w:val="26"/>
        </w:rPr>
        <w:t>9</w:t>
      </w:r>
      <w:r w:rsidR="00170E0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E96507" w:rsidRPr="005C7374">
        <w:rPr>
          <w:rFonts w:ascii="Times New Roman" w:hAnsi="Times New Roman" w:cs="Times New Roman"/>
          <w:sz w:val="26"/>
          <w:szCs w:val="26"/>
        </w:rPr>
        <w:t>,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в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с </w:t>
      </w:r>
      <w:r w:rsidR="00E96507" w:rsidRPr="005C7374">
        <w:rPr>
          <w:rFonts w:ascii="Times New Roman" w:hAnsi="Times New Roman" w:cs="Times New Roman"/>
          <w:sz w:val="26"/>
          <w:szCs w:val="26"/>
        </w:rPr>
        <w:t>аналогичным периодом 201</w:t>
      </w:r>
      <w:r w:rsidR="00800D30" w:rsidRPr="005C7374">
        <w:rPr>
          <w:rFonts w:ascii="Times New Roman" w:hAnsi="Times New Roman" w:cs="Times New Roman"/>
          <w:sz w:val="26"/>
          <w:szCs w:val="26"/>
        </w:rPr>
        <w:t>8</w:t>
      </w:r>
      <w:r w:rsidR="00A54FDF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C7374">
        <w:rPr>
          <w:rFonts w:ascii="Times New Roman" w:hAnsi="Times New Roman" w:cs="Times New Roman"/>
          <w:sz w:val="26"/>
          <w:szCs w:val="26"/>
        </w:rPr>
        <w:t>а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, связан, в основном, </w:t>
      </w:r>
      <w:r w:rsidR="00B776A1" w:rsidRPr="005C7374">
        <w:rPr>
          <w:rFonts w:ascii="Times New Roman" w:hAnsi="Times New Roman" w:cs="Times New Roman"/>
          <w:sz w:val="26"/>
          <w:szCs w:val="26"/>
        </w:rPr>
        <w:t xml:space="preserve">(1) </w:t>
      </w:r>
      <w:r w:rsidR="006E05CC">
        <w:rPr>
          <w:rFonts w:ascii="Times New Roman" w:hAnsi="Times New Roman" w:cs="Times New Roman"/>
          <w:sz w:val="26"/>
          <w:szCs w:val="26"/>
          <w:lang w:val="kk-KZ"/>
        </w:rPr>
        <w:t xml:space="preserve">за счет обесценения активов </w:t>
      </w:r>
      <w:r w:rsidR="006E05CC">
        <w:rPr>
          <w:rFonts w:ascii="Times New Roman" w:hAnsi="Times New Roman" w:cs="Times New Roman"/>
          <w:sz w:val="26"/>
          <w:szCs w:val="26"/>
        </w:rPr>
        <w:t>(</w:t>
      </w:r>
      <w:r w:rsidR="00485621">
        <w:rPr>
          <w:rFonts w:ascii="Times New Roman" w:hAnsi="Times New Roman" w:cs="Times New Roman"/>
          <w:sz w:val="26"/>
          <w:szCs w:val="26"/>
        </w:rPr>
        <w:t>-</w:t>
      </w:r>
      <w:r w:rsidR="00060031">
        <w:rPr>
          <w:rFonts w:ascii="Times New Roman" w:hAnsi="Times New Roman" w:cs="Times New Roman"/>
          <w:sz w:val="26"/>
          <w:szCs w:val="26"/>
          <w:lang w:val="kk-KZ"/>
        </w:rPr>
        <w:t>10,</w:t>
      </w:r>
      <w:r w:rsidR="003B32CB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6052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2EA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6052E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052EA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6E05CC">
        <w:rPr>
          <w:rFonts w:ascii="Times New Roman" w:hAnsi="Times New Roman" w:cs="Times New Roman"/>
          <w:sz w:val="26"/>
          <w:szCs w:val="26"/>
        </w:rPr>
        <w:t>)</w:t>
      </w:r>
      <w:r w:rsidR="00E57B8E">
        <w:rPr>
          <w:rFonts w:ascii="Times New Roman" w:hAnsi="Times New Roman" w:cs="Times New Roman"/>
          <w:sz w:val="26"/>
          <w:szCs w:val="26"/>
        </w:rPr>
        <w:t>,</w:t>
      </w:r>
      <w:r w:rsidR="006052EA">
        <w:rPr>
          <w:rFonts w:ascii="Times New Roman" w:hAnsi="Times New Roman" w:cs="Times New Roman"/>
          <w:sz w:val="26"/>
          <w:szCs w:val="26"/>
        </w:rPr>
        <w:t xml:space="preserve"> </w:t>
      </w:r>
      <w:r w:rsidR="00485621">
        <w:rPr>
          <w:rFonts w:ascii="Times New Roman" w:hAnsi="Times New Roman" w:cs="Times New Roman"/>
          <w:sz w:val="26"/>
          <w:szCs w:val="26"/>
        </w:rPr>
        <w:t xml:space="preserve">2) уменьшением </w:t>
      </w:r>
      <w:proofErr w:type="spellStart"/>
      <w:r w:rsidR="00485621">
        <w:rPr>
          <w:rFonts w:ascii="Times New Roman" w:hAnsi="Times New Roman" w:cs="Times New Roman"/>
          <w:sz w:val="26"/>
          <w:szCs w:val="26"/>
        </w:rPr>
        <w:t>неоперационной</w:t>
      </w:r>
      <w:proofErr w:type="spellEnd"/>
      <w:r w:rsidR="00485621">
        <w:rPr>
          <w:rFonts w:ascii="Times New Roman" w:hAnsi="Times New Roman" w:cs="Times New Roman"/>
          <w:sz w:val="26"/>
          <w:szCs w:val="26"/>
        </w:rPr>
        <w:t xml:space="preserve"> прибыли</w:t>
      </w:r>
      <w:r w:rsidR="003A49C9">
        <w:rPr>
          <w:rFonts w:ascii="Times New Roman" w:hAnsi="Times New Roman" w:cs="Times New Roman"/>
          <w:sz w:val="26"/>
          <w:szCs w:val="26"/>
        </w:rPr>
        <w:t xml:space="preserve"> (-1,</w:t>
      </w:r>
      <w:r w:rsidR="005E69B0">
        <w:rPr>
          <w:rFonts w:ascii="Times New Roman" w:hAnsi="Times New Roman" w:cs="Times New Roman"/>
          <w:sz w:val="26"/>
          <w:szCs w:val="26"/>
        </w:rPr>
        <w:t>7</w:t>
      </w:r>
      <w:r w:rsidR="003A4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49C9">
        <w:rPr>
          <w:rFonts w:ascii="Times New Roman" w:hAnsi="Times New Roman" w:cs="Times New Roman"/>
          <w:sz w:val="26"/>
          <w:szCs w:val="26"/>
        </w:rPr>
        <w:t>мл</w:t>
      </w:r>
      <w:r w:rsidR="00485621">
        <w:rPr>
          <w:rFonts w:ascii="Times New Roman" w:hAnsi="Times New Roman" w:cs="Times New Roman"/>
          <w:sz w:val="26"/>
          <w:szCs w:val="26"/>
        </w:rPr>
        <w:t>рд.тенге</w:t>
      </w:r>
      <w:proofErr w:type="spellEnd"/>
      <w:r w:rsidR="00485621">
        <w:rPr>
          <w:rFonts w:ascii="Times New Roman" w:hAnsi="Times New Roman" w:cs="Times New Roman"/>
          <w:sz w:val="26"/>
          <w:szCs w:val="26"/>
        </w:rPr>
        <w:t>), 3) увеличением</w:t>
      </w:r>
      <w:r w:rsidR="00B776A1" w:rsidRPr="005C7374">
        <w:rPr>
          <w:rFonts w:ascii="Times New Roman" w:hAnsi="Times New Roman" w:cs="Times New Roman"/>
          <w:sz w:val="26"/>
          <w:szCs w:val="26"/>
        </w:rPr>
        <w:t xml:space="preserve"> чистой прибыли ТОО «</w:t>
      </w:r>
      <w:proofErr w:type="spellStart"/>
      <w:r w:rsidR="00B776A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B776A1" w:rsidRPr="005C7374">
        <w:rPr>
          <w:rFonts w:ascii="Times New Roman" w:hAnsi="Times New Roman" w:cs="Times New Roman"/>
          <w:sz w:val="26"/>
          <w:szCs w:val="26"/>
        </w:rPr>
        <w:t>», учитываемой Общес</w:t>
      </w:r>
      <w:r w:rsidR="00D2284D">
        <w:rPr>
          <w:rFonts w:ascii="Times New Roman" w:hAnsi="Times New Roman" w:cs="Times New Roman"/>
          <w:sz w:val="26"/>
          <w:szCs w:val="26"/>
        </w:rPr>
        <w:t>твом методом долевого участия (</w:t>
      </w:r>
      <w:r w:rsidR="00A0532D">
        <w:rPr>
          <w:rFonts w:ascii="Times New Roman" w:hAnsi="Times New Roman" w:cs="Times New Roman"/>
          <w:sz w:val="26"/>
          <w:szCs w:val="26"/>
        </w:rPr>
        <w:t>+</w:t>
      </w:r>
      <w:r w:rsidR="00955ECE">
        <w:rPr>
          <w:rFonts w:ascii="Times New Roman" w:hAnsi="Times New Roman" w:cs="Times New Roman"/>
          <w:sz w:val="26"/>
          <w:szCs w:val="26"/>
        </w:rPr>
        <w:t>3,6</w:t>
      </w:r>
      <w:r w:rsidR="00664914" w:rsidRPr="005C7374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B776A1" w:rsidRPr="005C7374">
        <w:rPr>
          <w:rFonts w:ascii="Times New Roman" w:hAnsi="Times New Roman" w:cs="Times New Roman"/>
          <w:sz w:val="26"/>
          <w:szCs w:val="26"/>
        </w:rPr>
        <w:t>)</w:t>
      </w:r>
      <w:r w:rsidR="00485621">
        <w:rPr>
          <w:rFonts w:ascii="Times New Roman" w:hAnsi="Times New Roman" w:cs="Times New Roman"/>
          <w:sz w:val="26"/>
          <w:szCs w:val="26"/>
        </w:rPr>
        <w:t>, 4</w:t>
      </w:r>
      <w:r w:rsidR="00B776A1" w:rsidRPr="005C7374">
        <w:rPr>
          <w:rFonts w:ascii="Times New Roman" w:hAnsi="Times New Roman" w:cs="Times New Roman"/>
          <w:sz w:val="26"/>
          <w:szCs w:val="26"/>
        </w:rPr>
        <w:t xml:space="preserve">) </w:t>
      </w:r>
      <w:r w:rsidR="00964A9F" w:rsidRPr="005C7374">
        <w:rPr>
          <w:rFonts w:ascii="Times New Roman" w:hAnsi="Times New Roman" w:cs="Times New Roman"/>
          <w:sz w:val="26"/>
          <w:szCs w:val="26"/>
        </w:rPr>
        <w:t>увеличением Операционно</w:t>
      </w:r>
      <w:r w:rsidR="00800D30" w:rsidRPr="005C7374">
        <w:rPr>
          <w:rFonts w:ascii="Times New Roman" w:hAnsi="Times New Roman" w:cs="Times New Roman"/>
          <w:sz w:val="26"/>
          <w:szCs w:val="26"/>
        </w:rPr>
        <w:t>й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00D30" w:rsidRPr="005C7374">
        <w:rPr>
          <w:rFonts w:ascii="Times New Roman" w:hAnsi="Times New Roman" w:cs="Times New Roman"/>
          <w:sz w:val="26"/>
          <w:szCs w:val="26"/>
        </w:rPr>
        <w:t>(</w:t>
      </w:r>
      <w:r w:rsidR="00A0532D">
        <w:rPr>
          <w:rFonts w:ascii="Times New Roman" w:hAnsi="Times New Roman" w:cs="Times New Roman"/>
          <w:sz w:val="26"/>
          <w:szCs w:val="26"/>
        </w:rPr>
        <w:t>+</w:t>
      </w:r>
      <w:r w:rsidR="00955ECE">
        <w:rPr>
          <w:rFonts w:ascii="Times New Roman" w:hAnsi="Times New Roman" w:cs="Times New Roman"/>
          <w:sz w:val="26"/>
          <w:szCs w:val="26"/>
        </w:rPr>
        <w:t>3,4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664126" w:rsidRPr="005C7374">
        <w:rPr>
          <w:rFonts w:ascii="Times New Roman" w:hAnsi="Times New Roman" w:cs="Times New Roman"/>
          <w:sz w:val="26"/>
          <w:szCs w:val="26"/>
        </w:rPr>
        <w:t>.</w:t>
      </w:r>
    </w:p>
    <w:p w:rsidR="0059174D" w:rsidRDefault="0059174D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174D" w:rsidRPr="00FD5820" w:rsidRDefault="0059174D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76A1" w:rsidRPr="005C7374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4BFE" w:rsidRPr="005C7374" w:rsidRDefault="00A06CE0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  <w:r w:rsidR="00F54BFE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D45" w:rsidRPr="005C7374" w:rsidRDefault="008403AC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D69E53" wp14:editId="0B0B0175">
            <wp:extent cx="6152515" cy="3004185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5C7374">
        <w:rPr>
          <w:rFonts w:ascii="Times New Roman" w:hAnsi="Times New Roman" w:cs="Times New Roman"/>
          <w:sz w:val="26"/>
          <w:szCs w:val="26"/>
        </w:rPr>
        <w:t xml:space="preserve">на </w:t>
      </w:r>
      <w:r w:rsidR="008368A5">
        <w:rPr>
          <w:rFonts w:ascii="Times New Roman" w:hAnsi="Times New Roman" w:cs="Times New Roman"/>
          <w:sz w:val="26"/>
          <w:szCs w:val="26"/>
          <w:lang w:val="kk-KZ"/>
        </w:rPr>
        <w:t xml:space="preserve">31 </w:t>
      </w:r>
      <w:r w:rsidR="003C1739">
        <w:rPr>
          <w:rFonts w:ascii="Times New Roman" w:hAnsi="Times New Roman" w:cs="Times New Roman"/>
          <w:sz w:val="26"/>
          <w:szCs w:val="26"/>
          <w:lang w:val="kk-KZ"/>
        </w:rPr>
        <w:t>сентября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C1739">
        <w:rPr>
          <w:rFonts w:ascii="Times New Roman" w:hAnsi="Times New Roman" w:cs="Times New Roman"/>
          <w:sz w:val="26"/>
          <w:szCs w:val="26"/>
          <w:lang w:val="kk-KZ"/>
        </w:rPr>
        <w:t>608</w:t>
      </w:r>
      <w:r w:rsidR="00593F8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тенге. </w:t>
      </w:r>
      <w:r w:rsidR="00301774">
        <w:rPr>
          <w:rFonts w:ascii="Times New Roman" w:hAnsi="Times New Roman" w:cs="Times New Roman"/>
          <w:sz w:val="26"/>
          <w:szCs w:val="26"/>
          <w:lang w:val="kk-KZ"/>
        </w:rPr>
        <w:t>Уменьшение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3C1739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5304FA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870ED6">
        <w:rPr>
          <w:rFonts w:ascii="Times New Roman" w:hAnsi="Times New Roman" w:cs="Times New Roman"/>
          <w:sz w:val="26"/>
          <w:szCs w:val="26"/>
          <w:lang w:val="kk-KZ"/>
        </w:rPr>
        <w:t>,1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7F3869" w:rsidRPr="005C7374">
        <w:rPr>
          <w:rFonts w:ascii="Times New Roman" w:hAnsi="Times New Roman" w:cs="Times New Roman"/>
          <w:sz w:val="26"/>
          <w:szCs w:val="26"/>
        </w:rPr>
        <w:t>в сравнении с размером собственного капитала на 31 декабря 2018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B7676" w:rsidRPr="008368A5" w:rsidRDefault="009333BB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683CE1" w:rsidRPr="008368A5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 w:rsidR="005304FA">
        <w:rPr>
          <w:rFonts w:ascii="Times New Roman" w:hAnsi="Times New Roman" w:cs="Times New Roman"/>
          <w:sz w:val="26"/>
          <w:szCs w:val="26"/>
        </w:rPr>
        <w:t>3,9</w:t>
      </w:r>
      <w:r w:rsidR="00683CE1" w:rsidRPr="008368A5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8368A5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8368A5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8368A5">
        <w:rPr>
          <w:rFonts w:ascii="Times New Roman" w:hAnsi="Times New Roman" w:cs="Times New Roman"/>
          <w:sz w:val="26"/>
          <w:szCs w:val="26"/>
        </w:rPr>
        <w:t>»</w:t>
      </w:r>
      <w:r w:rsidR="00BB7676" w:rsidRPr="008368A5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1958EE" w:rsidRPr="008368A5" w:rsidRDefault="0000742D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уменьшением</w:t>
      </w:r>
      <w:r w:rsidR="00CE3713" w:rsidRPr="008368A5">
        <w:rPr>
          <w:rFonts w:ascii="Times New Roman" w:hAnsi="Times New Roman" w:cs="Times New Roman"/>
          <w:sz w:val="26"/>
          <w:szCs w:val="26"/>
        </w:rPr>
        <w:t xml:space="preserve"> нераспределенной прибыли</w:t>
      </w:r>
      <w:r w:rsidR="00BB7676" w:rsidRPr="008368A5">
        <w:rPr>
          <w:rFonts w:ascii="Times New Roman" w:hAnsi="Times New Roman" w:cs="Times New Roman"/>
          <w:sz w:val="26"/>
          <w:szCs w:val="26"/>
        </w:rPr>
        <w:t xml:space="preserve"> </w:t>
      </w:r>
      <w:r w:rsidR="00E0586C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CE3713" w:rsidRPr="008368A5">
        <w:rPr>
          <w:rFonts w:ascii="Times New Roman" w:hAnsi="Times New Roman" w:cs="Times New Roman"/>
          <w:sz w:val="26"/>
          <w:szCs w:val="26"/>
        </w:rPr>
        <w:t xml:space="preserve">на </w:t>
      </w:r>
      <w:r w:rsidR="009333BB">
        <w:rPr>
          <w:rFonts w:ascii="Times New Roman" w:hAnsi="Times New Roman" w:cs="Times New Roman"/>
          <w:sz w:val="26"/>
          <w:szCs w:val="26"/>
        </w:rPr>
        <w:t>29</w:t>
      </w:r>
      <w:r w:rsidR="00CE3713" w:rsidRPr="008368A5">
        <w:rPr>
          <w:rFonts w:ascii="Times New Roman" w:hAnsi="Times New Roman" w:cs="Times New Roman"/>
          <w:sz w:val="26"/>
          <w:szCs w:val="26"/>
        </w:rPr>
        <w:t> млрд. тенге</w:t>
      </w:r>
      <w:r>
        <w:rPr>
          <w:rFonts w:ascii="Times New Roman" w:hAnsi="Times New Roman" w:cs="Times New Roman"/>
          <w:sz w:val="26"/>
          <w:szCs w:val="26"/>
        </w:rPr>
        <w:t xml:space="preserve"> за счет выплаты дивидендов</w:t>
      </w:r>
      <w:r w:rsidR="00165461" w:rsidRPr="008368A5">
        <w:rPr>
          <w:rFonts w:ascii="Times New Roman" w:hAnsi="Times New Roman" w:cs="Times New Roman"/>
          <w:sz w:val="26"/>
          <w:szCs w:val="26"/>
        </w:rPr>
        <w:t>.</w:t>
      </w:r>
    </w:p>
    <w:p w:rsidR="00165461" w:rsidRPr="005C7374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2E60" w:rsidRPr="005C7374" w:rsidRDefault="00A6767A" w:rsidP="00A676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ликвидности</w:t>
      </w:r>
    </w:p>
    <w:p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4212" w:rsidRPr="005C7374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2E1B4B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5C066E">
        <w:rPr>
          <w:rFonts w:ascii="Times New Roman" w:hAnsi="Times New Roman" w:cs="Times New Roman"/>
          <w:sz w:val="26"/>
          <w:szCs w:val="26"/>
          <w:lang w:val="kk-KZ"/>
        </w:rPr>
        <w:t xml:space="preserve"> месяцев</w:t>
      </w:r>
      <w:r w:rsidR="00F45B38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2019 года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C7374">
        <w:rPr>
          <w:rFonts w:ascii="Times New Roman" w:hAnsi="Times New Roman" w:cs="Times New Roman"/>
          <w:sz w:val="26"/>
          <w:szCs w:val="26"/>
        </w:rPr>
        <w:t>0,0</w:t>
      </w:r>
      <w:r w:rsidR="00666166" w:rsidRPr="005C7374">
        <w:rPr>
          <w:rFonts w:ascii="Times New Roman" w:hAnsi="Times New Roman" w:cs="Times New Roman"/>
          <w:sz w:val="26"/>
          <w:szCs w:val="26"/>
        </w:rPr>
        <w:t>5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C7374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C7374">
        <w:rPr>
          <w:rFonts w:ascii="Times New Roman" w:hAnsi="Times New Roman" w:cs="Times New Roman"/>
          <w:sz w:val="26"/>
          <w:szCs w:val="26"/>
        </w:rPr>
        <w:t>9</w:t>
      </w:r>
      <w:r w:rsidR="00666166" w:rsidRPr="005C7374">
        <w:rPr>
          <w:rFonts w:ascii="Times New Roman" w:hAnsi="Times New Roman" w:cs="Times New Roman"/>
          <w:sz w:val="26"/>
          <w:szCs w:val="26"/>
        </w:rPr>
        <w:t>5</w:t>
      </w:r>
      <w:r w:rsidR="006B4212" w:rsidRPr="005C7374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C7374">
        <w:rPr>
          <w:rFonts w:ascii="Times New Roman" w:hAnsi="Times New Roman" w:cs="Times New Roman"/>
          <w:sz w:val="26"/>
          <w:szCs w:val="26"/>
        </w:rPr>
        <w:t>е</w:t>
      </w:r>
      <w:r w:rsidR="006B4212"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C7374">
        <w:rPr>
          <w:rFonts w:ascii="Times New Roman" w:hAnsi="Times New Roman" w:cs="Times New Roman"/>
          <w:sz w:val="26"/>
          <w:szCs w:val="26"/>
        </w:rPr>
        <w:t>,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proofErr w:type="gramStart"/>
      <w:r w:rsidR="00D23143">
        <w:rPr>
          <w:rFonts w:ascii="Times New Roman" w:hAnsi="Times New Roman" w:cs="Times New Roman"/>
          <w:sz w:val="26"/>
          <w:szCs w:val="26"/>
        </w:rPr>
        <w:t>3,</w:t>
      </w:r>
      <w:r w:rsidR="00AA25CB">
        <w:rPr>
          <w:rFonts w:ascii="Times New Roman" w:hAnsi="Times New Roman" w:cs="Times New Roman"/>
          <w:sz w:val="26"/>
          <w:szCs w:val="26"/>
        </w:rPr>
        <w:t>8</w:t>
      </w:r>
      <w:r w:rsidR="00D23143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5C7374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C7374">
        <w:rPr>
          <w:rFonts w:ascii="Times New Roman" w:hAnsi="Times New Roman" w:cs="Times New Roman"/>
          <w:sz w:val="26"/>
          <w:szCs w:val="26"/>
        </w:rPr>
        <w:t>е</w:t>
      </w:r>
      <w:r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:rsidR="008039AD" w:rsidRPr="005C7374" w:rsidRDefault="00CA0723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759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Общие доходы и расходы, в мл</w:t>
      </w:r>
      <w:r w:rsidR="00E40CF0" w:rsidRPr="005C7374">
        <w:rPr>
          <w:rFonts w:ascii="Times New Roman" w:hAnsi="Times New Roman" w:cs="Times New Roman"/>
          <w:b/>
          <w:sz w:val="26"/>
          <w:szCs w:val="26"/>
        </w:rPr>
        <w:t>рд</w:t>
      </w:r>
      <w:r w:rsidRPr="005C7374">
        <w:rPr>
          <w:rFonts w:ascii="Times New Roman" w:hAnsi="Times New Roman" w:cs="Times New Roman"/>
          <w:b/>
          <w:sz w:val="26"/>
          <w:szCs w:val="26"/>
        </w:rPr>
        <w:t>. тенге</w:t>
      </w:r>
    </w:p>
    <w:p w:rsidR="00856CAE" w:rsidRPr="005C7374" w:rsidRDefault="00856CAE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4B9" w:rsidRPr="005C7374" w:rsidRDefault="00B92DDF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  <w:r>
        <w:rPr>
          <w:noProof/>
        </w:rPr>
        <w:drawing>
          <wp:inline distT="0" distB="0" distL="0" distR="0" wp14:anchorId="58D4FA1A" wp14:editId="6E6A79C8">
            <wp:extent cx="6152515" cy="2359025"/>
            <wp:effectExtent l="0" t="0" r="1968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723" w:rsidRPr="005C7374" w:rsidRDefault="00CA0723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:rsidR="00A15C79" w:rsidRPr="00FA3069" w:rsidRDefault="001854BF" w:rsidP="00ED7155">
      <w:pPr>
        <w:pStyle w:val="Default"/>
        <w:ind w:firstLine="708"/>
        <w:jc w:val="both"/>
        <w:rPr>
          <w:sz w:val="26"/>
          <w:szCs w:val="26"/>
        </w:rPr>
      </w:pPr>
      <w:r w:rsidRPr="005C7374">
        <w:rPr>
          <w:sz w:val="26"/>
          <w:szCs w:val="26"/>
        </w:rPr>
        <w:t xml:space="preserve">Общие доходы </w:t>
      </w:r>
      <w:r w:rsidR="00A15C79" w:rsidRPr="005C7374">
        <w:rPr>
          <w:sz w:val="26"/>
          <w:szCs w:val="26"/>
        </w:rPr>
        <w:t xml:space="preserve">в размере </w:t>
      </w:r>
      <w:r w:rsidR="00FA3069" w:rsidRPr="00FA3069">
        <w:rPr>
          <w:sz w:val="26"/>
          <w:szCs w:val="26"/>
        </w:rPr>
        <w:t>353</w:t>
      </w:r>
      <w:r w:rsidR="00D23187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 </w:t>
      </w:r>
      <w:r w:rsidR="00027422" w:rsidRPr="005C7374">
        <w:rPr>
          <w:sz w:val="26"/>
          <w:szCs w:val="26"/>
        </w:rPr>
        <w:t xml:space="preserve">за </w:t>
      </w:r>
      <w:r w:rsidR="00FA3069" w:rsidRPr="00FA3069">
        <w:rPr>
          <w:sz w:val="26"/>
          <w:szCs w:val="26"/>
        </w:rPr>
        <w:t>9</w:t>
      </w:r>
      <w:r w:rsidR="000C2D43">
        <w:rPr>
          <w:sz w:val="26"/>
          <w:szCs w:val="26"/>
        </w:rPr>
        <w:t xml:space="preserve"> месяцев</w:t>
      </w:r>
      <w:r w:rsidR="009E4D9E" w:rsidRPr="005C7374">
        <w:rPr>
          <w:sz w:val="26"/>
          <w:szCs w:val="26"/>
        </w:rPr>
        <w:t xml:space="preserve"> 2019</w:t>
      </w:r>
      <w:r w:rsidR="00027422" w:rsidRPr="005C7374">
        <w:rPr>
          <w:sz w:val="26"/>
          <w:szCs w:val="26"/>
        </w:rPr>
        <w:t xml:space="preserve"> года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сформированы</w:t>
      </w:r>
      <w:r w:rsidR="00B83CA0" w:rsidRPr="005C7374">
        <w:rPr>
          <w:sz w:val="26"/>
          <w:szCs w:val="26"/>
        </w:rPr>
        <w:t>,</w:t>
      </w:r>
      <w:r w:rsidR="004F38BB" w:rsidRPr="005C7374">
        <w:rPr>
          <w:sz w:val="26"/>
          <w:szCs w:val="26"/>
        </w:rPr>
        <w:t xml:space="preserve"> в основном</w:t>
      </w:r>
      <w:r w:rsidR="00B83CA0" w:rsidRPr="005C7374">
        <w:rPr>
          <w:sz w:val="26"/>
          <w:szCs w:val="26"/>
        </w:rPr>
        <w:t>,</w:t>
      </w:r>
      <w:r w:rsidR="00A15C79" w:rsidRPr="005C7374">
        <w:rPr>
          <w:sz w:val="26"/>
          <w:szCs w:val="26"/>
        </w:rPr>
        <w:t xml:space="preserve"> </w:t>
      </w:r>
      <w:r w:rsidR="00E40CF0" w:rsidRPr="005C7374">
        <w:rPr>
          <w:sz w:val="26"/>
          <w:szCs w:val="26"/>
        </w:rPr>
        <w:t>доходами</w:t>
      </w:r>
      <w:r w:rsidR="00A15C79" w:rsidRPr="005C7374">
        <w:rPr>
          <w:sz w:val="26"/>
          <w:szCs w:val="26"/>
        </w:rPr>
        <w:t xml:space="preserve"> от реализации аффинированного золота в размере </w:t>
      </w:r>
      <w:r w:rsidR="004B35ED">
        <w:rPr>
          <w:sz w:val="26"/>
          <w:szCs w:val="26"/>
        </w:rPr>
        <w:t>300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за счет реализации </w:t>
      </w:r>
      <w:r w:rsidR="00D73721" w:rsidRPr="005C7374">
        <w:rPr>
          <w:sz w:val="26"/>
          <w:szCs w:val="26"/>
        </w:rPr>
        <w:t xml:space="preserve">аффинированного </w:t>
      </w:r>
      <w:r w:rsidR="00A15C79" w:rsidRPr="005C7374">
        <w:rPr>
          <w:sz w:val="26"/>
          <w:szCs w:val="26"/>
        </w:rPr>
        <w:t>золота Национально</w:t>
      </w:r>
      <w:r w:rsidR="00A86432" w:rsidRPr="005C7374">
        <w:rPr>
          <w:sz w:val="26"/>
          <w:szCs w:val="26"/>
        </w:rPr>
        <w:t>му Банку Республики Казахстана</w:t>
      </w:r>
      <w:r w:rsidR="00D73721" w:rsidRPr="005C7374">
        <w:rPr>
          <w:sz w:val="26"/>
          <w:szCs w:val="26"/>
        </w:rPr>
        <w:t xml:space="preserve"> и реализации</w:t>
      </w:r>
      <w:r w:rsidR="00A15C79" w:rsidRPr="005C7374">
        <w:rPr>
          <w:sz w:val="26"/>
          <w:szCs w:val="26"/>
        </w:rPr>
        <w:t xml:space="preserve"> металл</w:t>
      </w:r>
      <w:r w:rsidR="00A86432" w:rsidRPr="005C7374">
        <w:rPr>
          <w:sz w:val="26"/>
          <w:szCs w:val="26"/>
        </w:rPr>
        <w:t>ург</w:t>
      </w:r>
      <w:r w:rsidR="00A15C79" w:rsidRPr="005C7374">
        <w:rPr>
          <w:sz w:val="26"/>
          <w:szCs w:val="26"/>
        </w:rPr>
        <w:t xml:space="preserve">ического кремния в размере </w:t>
      </w:r>
      <w:r w:rsidR="00310BAA" w:rsidRPr="00310BAA">
        <w:rPr>
          <w:sz w:val="26"/>
          <w:szCs w:val="26"/>
        </w:rPr>
        <w:t>5</w:t>
      </w:r>
      <w:r w:rsidR="00310BAA">
        <w:rPr>
          <w:sz w:val="26"/>
          <w:szCs w:val="26"/>
        </w:rPr>
        <w:t>,</w:t>
      </w:r>
      <w:r w:rsidR="00310BAA" w:rsidRPr="00310BAA">
        <w:rPr>
          <w:sz w:val="26"/>
          <w:szCs w:val="26"/>
        </w:rPr>
        <w:t>7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</w:t>
      </w:r>
      <w:r w:rsidR="007C3B35" w:rsidRPr="005C7374">
        <w:rPr>
          <w:sz w:val="26"/>
          <w:szCs w:val="26"/>
        </w:rPr>
        <w:t>аффинированного серебра в размере 1,</w:t>
      </w:r>
      <w:r w:rsidR="000C2D43">
        <w:rPr>
          <w:sz w:val="26"/>
          <w:szCs w:val="26"/>
        </w:rPr>
        <w:t>7</w:t>
      </w:r>
      <w:r w:rsidR="007C3B35" w:rsidRPr="005C7374">
        <w:rPr>
          <w:sz w:val="26"/>
          <w:szCs w:val="26"/>
        </w:rPr>
        <w:t xml:space="preserve"> </w:t>
      </w:r>
      <w:proofErr w:type="spellStart"/>
      <w:r w:rsidR="007C3B35" w:rsidRPr="005C7374">
        <w:rPr>
          <w:sz w:val="26"/>
          <w:szCs w:val="26"/>
        </w:rPr>
        <w:t>млрд</w:t>
      </w:r>
      <w:proofErr w:type="gramStart"/>
      <w:r w:rsidR="007C3B35" w:rsidRPr="005C7374">
        <w:rPr>
          <w:sz w:val="26"/>
          <w:szCs w:val="26"/>
        </w:rPr>
        <w:t>.т</w:t>
      </w:r>
      <w:proofErr w:type="gramEnd"/>
      <w:r w:rsidR="007C3B35" w:rsidRPr="005C7374">
        <w:rPr>
          <w:sz w:val="26"/>
          <w:szCs w:val="26"/>
        </w:rPr>
        <w:t>енге</w:t>
      </w:r>
      <w:proofErr w:type="spellEnd"/>
      <w:r w:rsidR="007C3B35" w:rsidRPr="005C7374">
        <w:rPr>
          <w:sz w:val="26"/>
          <w:szCs w:val="26"/>
        </w:rPr>
        <w:t xml:space="preserve">, </w:t>
      </w:r>
      <w:r w:rsidR="00A15C79" w:rsidRPr="005C7374">
        <w:rPr>
          <w:sz w:val="26"/>
          <w:szCs w:val="26"/>
        </w:rPr>
        <w:t>фи</w:t>
      </w:r>
      <w:r w:rsidR="00A86432" w:rsidRPr="005C7374">
        <w:rPr>
          <w:sz w:val="26"/>
          <w:szCs w:val="26"/>
        </w:rPr>
        <w:t xml:space="preserve">нансовыми доходами в размере </w:t>
      </w:r>
      <w:r w:rsidR="007C3B35" w:rsidRPr="005C7374">
        <w:rPr>
          <w:sz w:val="26"/>
          <w:szCs w:val="26"/>
        </w:rPr>
        <w:t>0,</w:t>
      </w:r>
      <w:r w:rsidR="004B35ED">
        <w:rPr>
          <w:sz w:val="26"/>
          <w:szCs w:val="26"/>
        </w:rPr>
        <w:t>5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полученными в результате размещения временно-свободных денежных средств в банках второго уровня, </w:t>
      </w:r>
      <w:r w:rsidR="00A86432" w:rsidRPr="005C7374">
        <w:rPr>
          <w:sz w:val="26"/>
          <w:szCs w:val="26"/>
        </w:rPr>
        <w:t xml:space="preserve">прочих доходов в размере </w:t>
      </w:r>
      <w:r w:rsidR="00F4023F">
        <w:rPr>
          <w:sz w:val="26"/>
          <w:szCs w:val="26"/>
        </w:rPr>
        <w:t>2,0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>. тенге</w:t>
      </w:r>
      <w:r w:rsidR="00E942D4">
        <w:rPr>
          <w:sz w:val="26"/>
          <w:szCs w:val="26"/>
        </w:rPr>
        <w:t xml:space="preserve">, </w:t>
      </w:r>
      <w:r w:rsidR="00873A39" w:rsidRPr="002C7B8C">
        <w:rPr>
          <w:rFonts w:eastAsia="Calibri"/>
          <w:sz w:val="28"/>
          <w:szCs w:val="28"/>
          <w:lang w:eastAsia="en-US"/>
        </w:rPr>
        <w:t xml:space="preserve">а также </w:t>
      </w:r>
      <w:r w:rsidR="00873A39">
        <w:rPr>
          <w:rFonts w:eastAsia="Calibri"/>
          <w:sz w:val="28"/>
          <w:szCs w:val="28"/>
          <w:lang w:eastAsia="en-US"/>
        </w:rPr>
        <w:t xml:space="preserve">получением дохода от </w:t>
      </w:r>
      <w:r w:rsidR="00873A39">
        <w:rPr>
          <w:rFonts w:eastAsia="Calibri"/>
          <w:sz w:val="28"/>
          <w:szCs w:val="28"/>
          <w:lang w:val="kk-KZ" w:eastAsia="en-US"/>
        </w:rPr>
        <w:t>дочерни</w:t>
      </w:r>
      <w:r w:rsidR="007106FB">
        <w:rPr>
          <w:rFonts w:eastAsia="Calibri"/>
          <w:sz w:val="28"/>
          <w:szCs w:val="28"/>
          <w:lang w:val="kk-KZ" w:eastAsia="en-US"/>
        </w:rPr>
        <w:t>х</w:t>
      </w:r>
      <w:r w:rsidR="00873A39">
        <w:rPr>
          <w:rFonts w:eastAsia="Calibri"/>
          <w:sz w:val="28"/>
          <w:szCs w:val="28"/>
          <w:lang w:val="kk-KZ" w:eastAsia="en-US"/>
        </w:rPr>
        <w:t xml:space="preserve"> </w:t>
      </w:r>
      <w:r w:rsidR="007106FB">
        <w:rPr>
          <w:rFonts w:eastAsia="Calibri"/>
          <w:sz w:val="28"/>
          <w:szCs w:val="28"/>
          <w:lang w:val="kk-KZ" w:eastAsia="en-US"/>
        </w:rPr>
        <w:t xml:space="preserve">и </w:t>
      </w:r>
      <w:r w:rsidR="00873A39">
        <w:rPr>
          <w:rFonts w:eastAsia="Calibri"/>
          <w:sz w:val="28"/>
          <w:szCs w:val="28"/>
          <w:lang w:val="kk-KZ" w:eastAsia="en-US"/>
        </w:rPr>
        <w:t>зависимых организаций</w:t>
      </w:r>
      <w:r w:rsidR="00E942D4">
        <w:rPr>
          <w:rFonts w:eastAsia="Calibri"/>
          <w:sz w:val="28"/>
          <w:szCs w:val="28"/>
          <w:lang w:eastAsia="en-US"/>
        </w:rPr>
        <w:t xml:space="preserve"> в размере </w:t>
      </w:r>
      <w:r w:rsidR="00310BAA">
        <w:rPr>
          <w:rFonts w:eastAsia="Calibri"/>
          <w:sz w:val="28"/>
          <w:szCs w:val="28"/>
          <w:lang w:eastAsia="en-US"/>
        </w:rPr>
        <w:t>43,1</w:t>
      </w:r>
      <w:r w:rsidR="00E942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942D4">
        <w:rPr>
          <w:rFonts w:eastAsia="Calibri"/>
          <w:sz w:val="28"/>
          <w:szCs w:val="28"/>
          <w:lang w:eastAsia="en-US"/>
        </w:rPr>
        <w:t>млрд</w:t>
      </w:r>
      <w:proofErr w:type="gramStart"/>
      <w:r w:rsidR="00E942D4">
        <w:rPr>
          <w:rFonts w:eastAsia="Calibri"/>
          <w:sz w:val="28"/>
          <w:szCs w:val="28"/>
          <w:lang w:eastAsia="en-US"/>
        </w:rPr>
        <w:t>.т</w:t>
      </w:r>
      <w:proofErr w:type="gramEnd"/>
      <w:r w:rsidR="00E942D4">
        <w:rPr>
          <w:rFonts w:eastAsia="Calibri"/>
          <w:sz w:val="28"/>
          <w:szCs w:val="28"/>
          <w:lang w:eastAsia="en-US"/>
        </w:rPr>
        <w:t>енге</w:t>
      </w:r>
      <w:proofErr w:type="spellEnd"/>
      <w:r w:rsidR="00A15C79" w:rsidRPr="005C7374">
        <w:rPr>
          <w:sz w:val="26"/>
          <w:szCs w:val="26"/>
        </w:rPr>
        <w:t>.</w:t>
      </w:r>
    </w:p>
    <w:p w:rsidR="00C038F0" w:rsidRPr="005C7374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Консолидированные </w:t>
      </w:r>
      <w:r w:rsidR="001A3625" w:rsidRPr="005C7374">
        <w:rPr>
          <w:rFonts w:ascii="Times New Roman" w:hAnsi="Times New Roman" w:cs="Times New Roman"/>
          <w:sz w:val="26"/>
          <w:szCs w:val="26"/>
        </w:rPr>
        <w:t>расходы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E023BF" w:rsidRPr="005C7374">
        <w:rPr>
          <w:rFonts w:ascii="Times New Roman" w:hAnsi="Times New Roman" w:cs="Times New Roman"/>
          <w:sz w:val="26"/>
          <w:szCs w:val="26"/>
        </w:rPr>
        <w:t>за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B94035">
        <w:rPr>
          <w:rFonts w:ascii="Times New Roman" w:hAnsi="Times New Roman" w:cs="Times New Roman"/>
          <w:sz w:val="26"/>
          <w:szCs w:val="26"/>
        </w:rPr>
        <w:t>9</w:t>
      </w:r>
      <w:r w:rsidR="00B1519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18120A" w:rsidRPr="005C7374">
        <w:rPr>
          <w:rFonts w:ascii="Times New Roman" w:hAnsi="Times New Roman" w:cs="Times New Roman"/>
          <w:sz w:val="26"/>
          <w:szCs w:val="26"/>
        </w:rPr>
        <w:t xml:space="preserve"> 2019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94035">
        <w:rPr>
          <w:rFonts w:ascii="Times New Roman" w:hAnsi="Times New Roman" w:cs="Times New Roman"/>
          <w:sz w:val="26"/>
          <w:szCs w:val="26"/>
        </w:rPr>
        <w:t>319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E40CF0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 </w:t>
      </w:r>
      <w:r w:rsidR="007A7E98" w:rsidRPr="005C7374">
        <w:rPr>
          <w:rFonts w:ascii="Times New Roman" w:hAnsi="Times New Roman" w:cs="Times New Roman"/>
          <w:sz w:val="26"/>
          <w:szCs w:val="26"/>
        </w:rPr>
        <w:t>и включают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3CA0" w:rsidRPr="005C7374">
        <w:rPr>
          <w:rFonts w:ascii="Times New Roman" w:hAnsi="Times New Roman" w:cs="Times New Roman"/>
          <w:sz w:val="26"/>
          <w:szCs w:val="26"/>
        </w:rPr>
        <w:t>, в основном,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приобретение золотосодержащего сырья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 затраты учитываемых в </w:t>
      </w:r>
      <w:r w:rsidR="00E40CF0" w:rsidRPr="005C7374">
        <w:rPr>
          <w:rFonts w:ascii="Times New Roman" w:hAnsi="Times New Roman" w:cs="Times New Roman"/>
          <w:sz w:val="26"/>
          <w:szCs w:val="26"/>
        </w:rPr>
        <w:t xml:space="preserve">аффинаже </w:t>
      </w:r>
      <w:r w:rsidRPr="005C7374">
        <w:rPr>
          <w:rFonts w:ascii="Times New Roman" w:hAnsi="Times New Roman" w:cs="Times New Roman"/>
          <w:sz w:val="26"/>
          <w:szCs w:val="26"/>
        </w:rPr>
        <w:t>золота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затраты по производству металлургического кремния</w:t>
      </w:r>
      <w:r w:rsidRPr="005C7374">
        <w:rPr>
          <w:rFonts w:ascii="Times New Roman" w:hAnsi="Times New Roman" w:cs="Times New Roman"/>
          <w:sz w:val="26"/>
          <w:szCs w:val="26"/>
        </w:rPr>
        <w:t>, об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щие и административные расходы, расходы </w:t>
      </w:r>
      <w:r w:rsidR="00E40CF0" w:rsidRPr="005C7374">
        <w:rPr>
          <w:rFonts w:ascii="Times New Roman" w:hAnsi="Times New Roman" w:cs="Times New Roman"/>
          <w:sz w:val="26"/>
          <w:szCs w:val="26"/>
        </w:rPr>
        <w:t>по транспортировке и реализации и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E023BF" w:rsidRPr="005C7374">
        <w:rPr>
          <w:rFonts w:ascii="Times New Roman" w:hAnsi="Times New Roman" w:cs="Times New Roman"/>
          <w:sz w:val="26"/>
          <w:szCs w:val="26"/>
        </w:rPr>
        <w:t>неоперационные расходы</w:t>
      </w:r>
      <w:r w:rsidRPr="005C7374">
        <w:rPr>
          <w:rFonts w:ascii="Times New Roman" w:hAnsi="Times New Roman" w:cs="Times New Roman"/>
          <w:sz w:val="26"/>
          <w:szCs w:val="26"/>
        </w:rPr>
        <w:t>.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E98" w:rsidRPr="0000742D" w:rsidRDefault="00452067" w:rsidP="004F38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В 201</w:t>
      </w:r>
      <w:r w:rsidR="00E76F82" w:rsidRPr="005C7374">
        <w:rPr>
          <w:rFonts w:ascii="Times New Roman" w:hAnsi="Times New Roman" w:cs="Times New Roman"/>
          <w:sz w:val="26"/>
          <w:szCs w:val="26"/>
        </w:rPr>
        <w:t>9</w:t>
      </w:r>
      <w:r w:rsidRPr="005C7374">
        <w:rPr>
          <w:rFonts w:ascii="Times New Roman" w:hAnsi="Times New Roman" w:cs="Times New Roman"/>
          <w:sz w:val="26"/>
          <w:szCs w:val="26"/>
        </w:rPr>
        <w:t xml:space="preserve"> году Обществом 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получение общего дохода в размере </w:t>
      </w:r>
      <w:r w:rsidR="00B94035">
        <w:rPr>
          <w:rFonts w:ascii="Times New Roman" w:hAnsi="Times New Roman" w:cs="Times New Roman"/>
          <w:sz w:val="26"/>
          <w:szCs w:val="26"/>
        </w:rPr>
        <w:t>471</w:t>
      </w:r>
      <w:r w:rsidR="001D7BD1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8A1F98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тенге, за счет реализации аффинированного золота в размере </w:t>
      </w:r>
      <w:r w:rsidR="00D90EB6" w:rsidRPr="00D90EB6">
        <w:rPr>
          <w:rFonts w:ascii="Times New Roman" w:hAnsi="Times New Roman" w:cs="Times New Roman"/>
          <w:sz w:val="26"/>
          <w:szCs w:val="26"/>
        </w:rPr>
        <w:t xml:space="preserve">400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8A1F98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 Национальному Банку Республики Казахстана, реализации металлургического кремния в размере </w:t>
      </w:r>
      <w:r w:rsidR="00A84D16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="00A67AA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8A1F98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тенге, реализации аффинированного серебра в размере </w:t>
      </w:r>
      <w:r w:rsidR="001D7BD1">
        <w:rPr>
          <w:rFonts w:ascii="Times New Roman" w:hAnsi="Times New Roman" w:cs="Times New Roman"/>
          <w:sz w:val="26"/>
          <w:szCs w:val="26"/>
          <w:lang w:val="kk-KZ"/>
        </w:rPr>
        <w:t>2,</w:t>
      </w:r>
      <w:r w:rsidR="00CA353F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8A1F9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8A1F98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A84D16">
        <w:rPr>
          <w:rFonts w:ascii="Times New Roman" w:hAnsi="Times New Roman" w:cs="Times New Roman"/>
          <w:sz w:val="26"/>
          <w:szCs w:val="26"/>
        </w:rPr>
        <w:t xml:space="preserve"> и прочих доходов в размере </w:t>
      </w:r>
      <w:r w:rsidR="00CA353F">
        <w:rPr>
          <w:rFonts w:ascii="Times New Roman" w:hAnsi="Times New Roman" w:cs="Times New Roman"/>
          <w:sz w:val="26"/>
          <w:szCs w:val="26"/>
        </w:rPr>
        <w:t>2,4</w:t>
      </w:r>
      <w:r w:rsidR="00A84D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D16"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 w:rsidR="00A84D1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A84D16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2C7B8C">
        <w:rPr>
          <w:rFonts w:ascii="Times New Roman" w:hAnsi="Times New Roman" w:cs="Times New Roman"/>
          <w:sz w:val="26"/>
          <w:szCs w:val="26"/>
        </w:rPr>
        <w:t xml:space="preserve">, </w:t>
      </w:r>
      <w:r w:rsidR="002C7B8C" w:rsidRPr="002C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BF4A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получением </w:t>
      </w:r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дохода от </w:t>
      </w:r>
      <w:r w:rsidR="00873A3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дочерни</w:t>
      </w:r>
      <w:r w:rsidR="007106F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</w:t>
      </w:r>
      <w:r w:rsidR="00873A3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7106F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и </w:t>
      </w:r>
      <w:r w:rsidR="00873A3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зависимых организаций </w:t>
      </w:r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DF170D">
        <w:rPr>
          <w:rFonts w:ascii="Times New Roman" w:eastAsia="Calibri" w:hAnsi="Times New Roman" w:cs="Times New Roman"/>
          <w:sz w:val="28"/>
          <w:szCs w:val="28"/>
          <w:lang w:eastAsia="en-US"/>
        </w:rPr>
        <w:t>54,9</w:t>
      </w:r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>млрд</w:t>
      </w:r>
      <w:proofErr w:type="gramStart"/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="002C7B8C">
        <w:rPr>
          <w:rFonts w:ascii="Times New Roman" w:eastAsia="Calibri" w:hAnsi="Times New Roman" w:cs="Times New Roman"/>
          <w:sz w:val="28"/>
          <w:szCs w:val="28"/>
          <w:lang w:eastAsia="en-US"/>
        </w:rPr>
        <w:t>енге</w:t>
      </w:r>
      <w:proofErr w:type="spellEnd"/>
      <w:r w:rsidR="008A1F98" w:rsidRPr="005C7374">
        <w:rPr>
          <w:rFonts w:ascii="Times New Roman" w:hAnsi="Times New Roman" w:cs="Times New Roman"/>
          <w:sz w:val="26"/>
          <w:szCs w:val="26"/>
        </w:rPr>
        <w:t>.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19C" w:rsidRDefault="00BE319C" w:rsidP="00BE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374">
        <w:rPr>
          <w:rFonts w:ascii="Times New Roman" w:hAnsi="Times New Roman" w:cs="Times New Roman"/>
          <w:sz w:val="26"/>
          <w:szCs w:val="26"/>
        </w:rPr>
        <w:t xml:space="preserve">Общие расходы на 2019 год планируются в размере </w:t>
      </w:r>
      <w:r w:rsidR="00F624BC">
        <w:rPr>
          <w:rFonts w:ascii="Times New Roman" w:hAnsi="Times New Roman" w:cs="Times New Roman"/>
          <w:sz w:val="26"/>
          <w:szCs w:val="26"/>
          <w:lang w:val="kk-KZ"/>
        </w:rPr>
        <w:t>427</w:t>
      </w:r>
      <w:r w:rsidR="006D009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 xml:space="preserve">млрд. тенге и 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F624BC">
        <w:rPr>
          <w:rFonts w:ascii="Times New Roman" w:hAnsi="Times New Roman" w:cs="Times New Roman"/>
          <w:sz w:val="26"/>
          <w:szCs w:val="26"/>
          <w:lang w:val="kk-KZ"/>
        </w:rPr>
        <w:t>409</w:t>
      </w:r>
      <w:r w:rsidRPr="005C7374">
        <w:rPr>
          <w:rFonts w:ascii="Times New Roman" w:hAnsi="Times New Roman" w:cs="Times New Roman"/>
          <w:sz w:val="26"/>
          <w:szCs w:val="26"/>
        </w:rPr>
        <w:t xml:space="preserve"> млрд. тенге, общие и административные расходы корпоративного центра Общества и дочерних организации в размере </w:t>
      </w:r>
      <w:r w:rsidR="00F624BC">
        <w:rPr>
          <w:rFonts w:ascii="Times New Roman" w:hAnsi="Times New Roman" w:cs="Times New Roman"/>
          <w:sz w:val="26"/>
          <w:szCs w:val="26"/>
          <w:lang w:val="kk-KZ"/>
        </w:rPr>
        <w:t>4,1</w:t>
      </w:r>
      <w:r w:rsidRPr="005C7374">
        <w:rPr>
          <w:rFonts w:ascii="Times New Roman" w:hAnsi="Times New Roman" w:cs="Times New Roman"/>
          <w:sz w:val="26"/>
          <w:szCs w:val="26"/>
        </w:rPr>
        <w:t xml:space="preserve"> млрд. тенге, расходы на реализацию в размере 0,</w:t>
      </w:r>
      <w:r w:rsidR="006D009F">
        <w:rPr>
          <w:rFonts w:ascii="Times New Roman" w:hAnsi="Times New Roman" w:cs="Times New Roman"/>
          <w:sz w:val="26"/>
          <w:szCs w:val="26"/>
        </w:rPr>
        <w:t>2</w:t>
      </w:r>
      <w:r w:rsidRPr="005C7374">
        <w:rPr>
          <w:rFonts w:ascii="Times New Roman" w:hAnsi="Times New Roman" w:cs="Times New Roman"/>
          <w:sz w:val="26"/>
          <w:szCs w:val="26"/>
        </w:rPr>
        <w:t xml:space="preserve"> млрд. тенге, прочие расходы</w:t>
      </w:r>
      <w:proofErr w:type="gramEnd"/>
      <w:r w:rsidRPr="005C737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907C98" w:rsidRPr="005C7374">
        <w:rPr>
          <w:rFonts w:ascii="Times New Roman" w:hAnsi="Times New Roman" w:cs="Times New Roman"/>
          <w:sz w:val="26"/>
          <w:szCs w:val="26"/>
        </w:rPr>
        <w:t>0,</w:t>
      </w:r>
      <w:r w:rsidR="006D009F">
        <w:rPr>
          <w:rFonts w:ascii="Times New Roman" w:hAnsi="Times New Roman" w:cs="Times New Roman"/>
          <w:sz w:val="26"/>
          <w:szCs w:val="26"/>
        </w:rPr>
        <w:t>3</w:t>
      </w:r>
      <w:r w:rsidRPr="005C7374">
        <w:rPr>
          <w:rFonts w:ascii="Times New Roman" w:hAnsi="Times New Roman" w:cs="Times New Roman"/>
          <w:sz w:val="26"/>
          <w:szCs w:val="26"/>
        </w:rPr>
        <w:t xml:space="preserve"> млрд. тенге.</w:t>
      </w:r>
    </w:p>
    <w:p w:rsidR="00856CAE" w:rsidRPr="005C7374" w:rsidRDefault="00856CAE" w:rsidP="00BE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56CAE" w:rsidRPr="005C7374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D2799" w15:done="0"/>
  <w15:commentEx w15:paraId="2FB4F7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6" w:rsidRDefault="00D90EB6" w:rsidP="00BA39CD">
      <w:pPr>
        <w:spacing w:after="0" w:line="240" w:lineRule="auto"/>
      </w:pPr>
      <w:r>
        <w:separator/>
      </w:r>
    </w:p>
  </w:endnote>
  <w:endnote w:type="continuationSeparator" w:id="0">
    <w:p w:rsidR="00D90EB6" w:rsidRDefault="00D90EB6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EndPr/>
    <w:sdtContent>
      <w:p w:rsidR="00D90EB6" w:rsidRDefault="00D90E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EB6" w:rsidRDefault="00D90E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EndPr/>
    <w:sdtContent>
      <w:p w:rsidR="00D90EB6" w:rsidRDefault="00D90E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0EB6" w:rsidRDefault="00D90E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EndPr/>
    <w:sdtContent>
      <w:p w:rsidR="00D90EB6" w:rsidRDefault="00D90E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EB6" w:rsidRDefault="00D90E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6" w:rsidRDefault="00D90EB6" w:rsidP="00BA39CD">
      <w:pPr>
        <w:spacing w:after="0" w:line="240" w:lineRule="auto"/>
      </w:pPr>
      <w:r>
        <w:separator/>
      </w:r>
    </w:p>
  </w:footnote>
  <w:footnote w:type="continuationSeparator" w:id="0">
    <w:p w:rsidR="00D90EB6" w:rsidRDefault="00D90EB6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аншалиев Бауыржан Сейтжанович">
    <w15:presenceInfo w15:providerId="AD" w15:userId="S-1-5-21-3610420068-3994307025-810758884-3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BCD"/>
    <w:rsid w:val="0000742D"/>
    <w:rsid w:val="00007986"/>
    <w:rsid w:val="00007AC2"/>
    <w:rsid w:val="00012F11"/>
    <w:rsid w:val="00014059"/>
    <w:rsid w:val="000160D3"/>
    <w:rsid w:val="00016765"/>
    <w:rsid w:val="00016D4D"/>
    <w:rsid w:val="0001727D"/>
    <w:rsid w:val="000172E5"/>
    <w:rsid w:val="00017781"/>
    <w:rsid w:val="00017C96"/>
    <w:rsid w:val="00022FEB"/>
    <w:rsid w:val="00025E0B"/>
    <w:rsid w:val="0002704B"/>
    <w:rsid w:val="00027422"/>
    <w:rsid w:val="000367E5"/>
    <w:rsid w:val="000416D1"/>
    <w:rsid w:val="00042AA5"/>
    <w:rsid w:val="00047E4F"/>
    <w:rsid w:val="00060031"/>
    <w:rsid w:val="000604A0"/>
    <w:rsid w:val="00070B0C"/>
    <w:rsid w:val="00071D9F"/>
    <w:rsid w:val="000727CB"/>
    <w:rsid w:val="00080769"/>
    <w:rsid w:val="000876C0"/>
    <w:rsid w:val="000903C7"/>
    <w:rsid w:val="00091547"/>
    <w:rsid w:val="00094E7A"/>
    <w:rsid w:val="000974EE"/>
    <w:rsid w:val="000A5C37"/>
    <w:rsid w:val="000C02CB"/>
    <w:rsid w:val="000C2D43"/>
    <w:rsid w:val="000C6C28"/>
    <w:rsid w:val="000C6CCE"/>
    <w:rsid w:val="000D5817"/>
    <w:rsid w:val="000E254A"/>
    <w:rsid w:val="000E2CC7"/>
    <w:rsid w:val="000E69B9"/>
    <w:rsid w:val="000F0306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22FCC"/>
    <w:rsid w:val="00134903"/>
    <w:rsid w:val="0013789B"/>
    <w:rsid w:val="0014584B"/>
    <w:rsid w:val="001469EB"/>
    <w:rsid w:val="00162942"/>
    <w:rsid w:val="00165461"/>
    <w:rsid w:val="00166BCA"/>
    <w:rsid w:val="00170E0B"/>
    <w:rsid w:val="00172F0C"/>
    <w:rsid w:val="00173E05"/>
    <w:rsid w:val="001750E8"/>
    <w:rsid w:val="00176E1B"/>
    <w:rsid w:val="0018120A"/>
    <w:rsid w:val="001813F0"/>
    <w:rsid w:val="00181D18"/>
    <w:rsid w:val="0018410D"/>
    <w:rsid w:val="00184404"/>
    <w:rsid w:val="001850CC"/>
    <w:rsid w:val="001854BF"/>
    <w:rsid w:val="00185999"/>
    <w:rsid w:val="00186E12"/>
    <w:rsid w:val="001932EB"/>
    <w:rsid w:val="00193903"/>
    <w:rsid w:val="00194C14"/>
    <w:rsid w:val="001958EE"/>
    <w:rsid w:val="00195DAF"/>
    <w:rsid w:val="001A289D"/>
    <w:rsid w:val="001A32AF"/>
    <w:rsid w:val="001A3625"/>
    <w:rsid w:val="001A60C7"/>
    <w:rsid w:val="001B0CED"/>
    <w:rsid w:val="001B197C"/>
    <w:rsid w:val="001B251A"/>
    <w:rsid w:val="001B4443"/>
    <w:rsid w:val="001C329D"/>
    <w:rsid w:val="001C6946"/>
    <w:rsid w:val="001C7467"/>
    <w:rsid w:val="001D0298"/>
    <w:rsid w:val="001D1F0B"/>
    <w:rsid w:val="001D2B6D"/>
    <w:rsid w:val="001D664F"/>
    <w:rsid w:val="001D7BD1"/>
    <w:rsid w:val="001E2320"/>
    <w:rsid w:val="001E3748"/>
    <w:rsid w:val="001E6D5E"/>
    <w:rsid w:val="001F2D40"/>
    <w:rsid w:val="001F3526"/>
    <w:rsid w:val="001F4D5C"/>
    <w:rsid w:val="00220A12"/>
    <w:rsid w:val="00221435"/>
    <w:rsid w:val="00223F86"/>
    <w:rsid w:val="002341BF"/>
    <w:rsid w:val="0023596B"/>
    <w:rsid w:val="00241F4B"/>
    <w:rsid w:val="00242057"/>
    <w:rsid w:val="00242624"/>
    <w:rsid w:val="00244230"/>
    <w:rsid w:val="0024433B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928"/>
    <w:rsid w:val="002A0A01"/>
    <w:rsid w:val="002A4131"/>
    <w:rsid w:val="002A5A80"/>
    <w:rsid w:val="002B105F"/>
    <w:rsid w:val="002B58F9"/>
    <w:rsid w:val="002C0C69"/>
    <w:rsid w:val="002C4429"/>
    <w:rsid w:val="002C7B8C"/>
    <w:rsid w:val="002D1DFA"/>
    <w:rsid w:val="002D3C7D"/>
    <w:rsid w:val="002D5627"/>
    <w:rsid w:val="002D621B"/>
    <w:rsid w:val="002D7176"/>
    <w:rsid w:val="002E1B4B"/>
    <w:rsid w:val="002E1C28"/>
    <w:rsid w:val="002E3E7D"/>
    <w:rsid w:val="002E459B"/>
    <w:rsid w:val="002E4EF6"/>
    <w:rsid w:val="002E684E"/>
    <w:rsid w:val="002F649E"/>
    <w:rsid w:val="00301774"/>
    <w:rsid w:val="00302B59"/>
    <w:rsid w:val="00305C46"/>
    <w:rsid w:val="00310BAA"/>
    <w:rsid w:val="00314AB2"/>
    <w:rsid w:val="0032005B"/>
    <w:rsid w:val="003214E9"/>
    <w:rsid w:val="0032775C"/>
    <w:rsid w:val="003368D1"/>
    <w:rsid w:val="00345B46"/>
    <w:rsid w:val="00352BFB"/>
    <w:rsid w:val="00355499"/>
    <w:rsid w:val="003616CE"/>
    <w:rsid w:val="003642BA"/>
    <w:rsid w:val="003649CA"/>
    <w:rsid w:val="0037240C"/>
    <w:rsid w:val="00373A7A"/>
    <w:rsid w:val="00373F65"/>
    <w:rsid w:val="003741A5"/>
    <w:rsid w:val="00375C96"/>
    <w:rsid w:val="00376E74"/>
    <w:rsid w:val="00377554"/>
    <w:rsid w:val="003874E4"/>
    <w:rsid w:val="003905F0"/>
    <w:rsid w:val="00393D1F"/>
    <w:rsid w:val="003A200D"/>
    <w:rsid w:val="003A277B"/>
    <w:rsid w:val="003A49C9"/>
    <w:rsid w:val="003A4D75"/>
    <w:rsid w:val="003A4E0E"/>
    <w:rsid w:val="003A598E"/>
    <w:rsid w:val="003A68F4"/>
    <w:rsid w:val="003B32CB"/>
    <w:rsid w:val="003C1739"/>
    <w:rsid w:val="003C2A77"/>
    <w:rsid w:val="003C7D77"/>
    <w:rsid w:val="003D0DD2"/>
    <w:rsid w:val="003D5F68"/>
    <w:rsid w:val="003D6F23"/>
    <w:rsid w:val="003E4521"/>
    <w:rsid w:val="003F4147"/>
    <w:rsid w:val="003F67FB"/>
    <w:rsid w:val="00403D18"/>
    <w:rsid w:val="004048D4"/>
    <w:rsid w:val="00406473"/>
    <w:rsid w:val="004108A8"/>
    <w:rsid w:val="00410EF2"/>
    <w:rsid w:val="004130E5"/>
    <w:rsid w:val="004131A9"/>
    <w:rsid w:val="0042698A"/>
    <w:rsid w:val="00430BE2"/>
    <w:rsid w:val="004342B7"/>
    <w:rsid w:val="004360A1"/>
    <w:rsid w:val="00443BFC"/>
    <w:rsid w:val="00444C9E"/>
    <w:rsid w:val="0044558B"/>
    <w:rsid w:val="004471A3"/>
    <w:rsid w:val="00452067"/>
    <w:rsid w:val="0045728C"/>
    <w:rsid w:val="00461EDA"/>
    <w:rsid w:val="004652CF"/>
    <w:rsid w:val="00466EB0"/>
    <w:rsid w:val="00483DB2"/>
    <w:rsid w:val="00484704"/>
    <w:rsid w:val="004855EA"/>
    <w:rsid w:val="00485621"/>
    <w:rsid w:val="00491C12"/>
    <w:rsid w:val="00495819"/>
    <w:rsid w:val="004A0406"/>
    <w:rsid w:val="004A21C6"/>
    <w:rsid w:val="004A26D9"/>
    <w:rsid w:val="004A4F18"/>
    <w:rsid w:val="004B35ED"/>
    <w:rsid w:val="004C1FDB"/>
    <w:rsid w:val="004C4050"/>
    <w:rsid w:val="004C50FD"/>
    <w:rsid w:val="004E054E"/>
    <w:rsid w:val="004E1D00"/>
    <w:rsid w:val="004E5CCB"/>
    <w:rsid w:val="004E60AB"/>
    <w:rsid w:val="004E755C"/>
    <w:rsid w:val="004F38BB"/>
    <w:rsid w:val="0050626A"/>
    <w:rsid w:val="00507EC7"/>
    <w:rsid w:val="005100EC"/>
    <w:rsid w:val="0051358F"/>
    <w:rsid w:val="00520137"/>
    <w:rsid w:val="005224DF"/>
    <w:rsid w:val="005304FA"/>
    <w:rsid w:val="00531CB0"/>
    <w:rsid w:val="00535CFF"/>
    <w:rsid w:val="00535DDC"/>
    <w:rsid w:val="00552D52"/>
    <w:rsid w:val="0055302D"/>
    <w:rsid w:val="00562996"/>
    <w:rsid w:val="005706B2"/>
    <w:rsid w:val="00575C09"/>
    <w:rsid w:val="005773FE"/>
    <w:rsid w:val="00581DE9"/>
    <w:rsid w:val="00583511"/>
    <w:rsid w:val="0058545B"/>
    <w:rsid w:val="005870AB"/>
    <w:rsid w:val="0059174D"/>
    <w:rsid w:val="00593F8C"/>
    <w:rsid w:val="005A1DF6"/>
    <w:rsid w:val="005B413D"/>
    <w:rsid w:val="005B6FBE"/>
    <w:rsid w:val="005C066E"/>
    <w:rsid w:val="005C2175"/>
    <w:rsid w:val="005C3A51"/>
    <w:rsid w:val="005C537B"/>
    <w:rsid w:val="005C7374"/>
    <w:rsid w:val="005D1653"/>
    <w:rsid w:val="005D4DA0"/>
    <w:rsid w:val="005E69B0"/>
    <w:rsid w:val="005F00B4"/>
    <w:rsid w:val="005F1C4D"/>
    <w:rsid w:val="005F5A44"/>
    <w:rsid w:val="005F613B"/>
    <w:rsid w:val="005F657A"/>
    <w:rsid w:val="005F6C4A"/>
    <w:rsid w:val="00603060"/>
    <w:rsid w:val="00604114"/>
    <w:rsid w:val="006052EA"/>
    <w:rsid w:val="00607EA4"/>
    <w:rsid w:val="00621A4E"/>
    <w:rsid w:val="00621B1C"/>
    <w:rsid w:val="00623B34"/>
    <w:rsid w:val="006379A0"/>
    <w:rsid w:val="006379DF"/>
    <w:rsid w:val="00641293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A2899"/>
    <w:rsid w:val="006A5530"/>
    <w:rsid w:val="006A6383"/>
    <w:rsid w:val="006B0329"/>
    <w:rsid w:val="006B4212"/>
    <w:rsid w:val="006B45FA"/>
    <w:rsid w:val="006C109C"/>
    <w:rsid w:val="006C429F"/>
    <w:rsid w:val="006C6058"/>
    <w:rsid w:val="006D009F"/>
    <w:rsid w:val="006D3848"/>
    <w:rsid w:val="006D3F61"/>
    <w:rsid w:val="006D5D99"/>
    <w:rsid w:val="006E05CC"/>
    <w:rsid w:val="006E0A48"/>
    <w:rsid w:val="006E166F"/>
    <w:rsid w:val="006E5119"/>
    <w:rsid w:val="006F1322"/>
    <w:rsid w:val="006F46B5"/>
    <w:rsid w:val="006F69B9"/>
    <w:rsid w:val="007106FB"/>
    <w:rsid w:val="00712A27"/>
    <w:rsid w:val="0071358B"/>
    <w:rsid w:val="00716F81"/>
    <w:rsid w:val="00720B64"/>
    <w:rsid w:val="00720D24"/>
    <w:rsid w:val="00720E1A"/>
    <w:rsid w:val="007211F4"/>
    <w:rsid w:val="00722F40"/>
    <w:rsid w:val="0072356D"/>
    <w:rsid w:val="00724400"/>
    <w:rsid w:val="00725AF7"/>
    <w:rsid w:val="0073038F"/>
    <w:rsid w:val="007325E1"/>
    <w:rsid w:val="00734F21"/>
    <w:rsid w:val="0073723B"/>
    <w:rsid w:val="00737CF7"/>
    <w:rsid w:val="00741051"/>
    <w:rsid w:val="0074532B"/>
    <w:rsid w:val="00755678"/>
    <w:rsid w:val="00762E81"/>
    <w:rsid w:val="00763CE9"/>
    <w:rsid w:val="00764748"/>
    <w:rsid w:val="00767912"/>
    <w:rsid w:val="00771444"/>
    <w:rsid w:val="0078419A"/>
    <w:rsid w:val="007843B0"/>
    <w:rsid w:val="00785B17"/>
    <w:rsid w:val="00790A85"/>
    <w:rsid w:val="00791354"/>
    <w:rsid w:val="0079229E"/>
    <w:rsid w:val="00792689"/>
    <w:rsid w:val="0079301C"/>
    <w:rsid w:val="00793B63"/>
    <w:rsid w:val="00793DA2"/>
    <w:rsid w:val="0079491B"/>
    <w:rsid w:val="007A36AB"/>
    <w:rsid w:val="007A62AC"/>
    <w:rsid w:val="007A7E98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368A5"/>
    <w:rsid w:val="008403AC"/>
    <w:rsid w:val="008429C3"/>
    <w:rsid w:val="00850056"/>
    <w:rsid w:val="00851517"/>
    <w:rsid w:val="00856CAE"/>
    <w:rsid w:val="00857CFC"/>
    <w:rsid w:val="00857EE8"/>
    <w:rsid w:val="008609AC"/>
    <w:rsid w:val="00861DB2"/>
    <w:rsid w:val="00870240"/>
    <w:rsid w:val="00870ED6"/>
    <w:rsid w:val="00873A39"/>
    <w:rsid w:val="00874631"/>
    <w:rsid w:val="00882D6D"/>
    <w:rsid w:val="00892725"/>
    <w:rsid w:val="00894C9F"/>
    <w:rsid w:val="00896823"/>
    <w:rsid w:val="00897F29"/>
    <w:rsid w:val="008A1F98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51E1"/>
    <w:rsid w:val="008D5729"/>
    <w:rsid w:val="008E3B10"/>
    <w:rsid w:val="008E54C8"/>
    <w:rsid w:val="008E5A58"/>
    <w:rsid w:val="008E76CC"/>
    <w:rsid w:val="008E7882"/>
    <w:rsid w:val="008F02D5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104C"/>
    <w:rsid w:val="009230B1"/>
    <w:rsid w:val="00930B4B"/>
    <w:rsid w:val="00932FEB"/>
    <w:rsid w:val="009333BB"/>
    <w:rsid w:val="00933C59"/>
    <w:rsid w:val="00935B4B"/>
    <w:rsid w:val="00951BD4"/>
    <w:rsid w:val="0095237F"/>
    <w:rsid w:val="00954DBE"/>
    <w:rsid w:val="00955ECE"/>
    <w:rsid w:val="009563AA"/>
    <w:rsid w:val="00957AD5"/>
    <w:rsid w:val="00964159"/>
    <w:rsid w:val="00964A9F"/>
    <w:rsid w:val="00972364"/>
    <w:rsid w:val="009743DC"/>
    <w:rsid w:val="009779ED"/>
    <w:rsid w:val="009808AE"/>
    <w:rsid w:val="00981176"/>
    <w:rsid w:val="00983A17"/>
    <w:rsid w:val="00993739"/>
    <w:rsid w:val="00997720"/>
    <w:rsid w:val="009A2B05"/>
    <w:rsid w:val="009A3F64"/>
    <w:rsid w:val="009B160F"/>
    <w:rsid w:val="009C79EE"/>
    <w:rsid w:val="009D01CD"/>
    <w:rsid w:val="009D2759"/>
    <w:rsid w:val="009D2B88"/>
    <w:rsid w:val="009E3343"/>
    <w:rsid w:val="009E4D9E"/>
    <w:rsid w:val="009E4FA7"/>
    <w:rsid w:val="009E73DE"/>
    <w:rsid w:val="009F5EEB"/>
    <w:rsid w:val="009F7026"/>
    <w:rsid w:val="00A0532D"/>
    <w:rsid w:val="00A06CE0"/>
    <w:rsid w:val="00A13DCE"/>
    <w:rsid w:val="00A15811"/>
    <w:rsid w:val="00A15B13"/>
    <w:rsid w:val="00A15C79"/>
    <w:rsid w:val="00A15C8C"/>
    <w:rsid w:val="00A16815"/>
    <w:rsid w:val="00A302D3"/>
    <w:rsid w:val="00A30746"/>
    <w:rsid w:val="00A40352"/>
    <w:rsid w:val="00A40374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4A96"/>
    <w:rsid w:val="00A84D16"/>
    <w:rsid w:val="00A86432"/>
    <w:rsid w:val="00A8762B"/>
    <w:rsid w:val="00A930FF"/>
    <w:rsid w:val="00A934C0"/>
    <w:rsid w:val="00A936CD"/>
    <w:rsid w:val="00A97334"/>
    <w:rsid w:val="00A97E22"/>
    <w:rsid w:val="00AA0CCD"/>
    <w:rsid w:val="00AA25CB"/>
    <w:rsid w:val="00AA6935"/>
    <w:rsid w:val="00AB13BE"/>
    <w:rsid w:val="00AB2253"/>
    <w:rsid w:val="00AC16C6"/>
    <w:rsid w:val="00AC3E58"/>
    <w:rsid w:val="00AC5278"/>
    <w:rsid w:val="00AC711E"/>
    <w:rsid w:val="00AD46E4"/>
    <w:rsid w:val="00AD5A19"/>
    <w:rsid w:val="00AD5E26"/>
    <w:rsid w:val="00AE0650"/>
    <w:rsid w:val="00AE5222"/>
    <w:rsid w:val="00AF1FD9"/>
    <w:rsid w:val="00B01B2C"/>
    <w:rsid w:val="00B03633"/>
    <w:rsid w:val="00B03FA4"/>
    <w:rsid w:val="00B114B9"/>
    <w:rsid w:val="00B1292D"/>
    <w:rsid w:val="00B12DCE"/>
    <w:rsid w:val="00B13EFE"/>
    <w:rsid w:val="00B15198"/>
    <w:rsid w:val="00B2008D"/>
    <w:rsid w:val="00B20C6B"/>
    <w:rsid w:val="00B25CBA"/>
    <w:rsid w:val="00B356D8"/>
    <w:rsid w:val="00B372A2"/>
    <w:rsid w:val="00B435F9"/>
    <w:rsid w:val="00B43B34"/>
    <w:rsid w:val="00B45E9D"/>
    <w:rsid w:val="00B522F0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2DDF"/>
    <w:rsid w:val="00B932FA"/>
    <w:rsid w:val="00B94035"/>
    <w:rsid w:val="00B94AAB"/>
    <w:rsid w:val="00B95BC8"/>
    <w:rsid w:val="00B9610F"/>
    <w:rsid w:val="00B9708F"/>
    <w:rsid w:val="00BA32B6"/>
    <w:rsid w:val="00BA3727"/>
    <w:rsid w:val="00BA39CD"/>
    <w:rsid w:val="00BA5A34"/>
    <w:rsid w:val="00BA6DE1"/>
    <w:rsid w:val="00BB1FCC"/>
    <w:rsid w:val="00BB2128"/>
    <w:rsid w:val="00BB5B6D"/>
    <w:rsid w:val="00BB5D23"/>
    <w:rsid w:val="00BB7676"/>
    <w:rsid w:val="00BC073A"/>
    <w:rsid w:val="00BC13F0"/>
    <w:rsid w:val="00BC3052"/>
    <w:rsid w:val="00BC5380"/>
    <w:rsid w:val="00BC6041"/>
    <w:rsid w:val="00BD0833"/>
    <w:rsid w:val="00BD1BCB"/>
    <w:rsid w:val="00BD34E1"/>
    <w:rsid w:val="00BD4311"/>
    <w:rsid w:val="00BD6566"/>
    <w:rsid w:val="00BD7249"/>
    <w:rsid w:val="00BD7719"/>
    <w:rsid w:val="00BE26F8"/>
    <w:rsid w:val="00BE319C"/>
    <w:rsid w:val="00BF4A0A"/>
    <w:rsid w:val="00BF6D1F"/>
    <w:rsid w:val="00C038F0"/>
    <w:rsid w:val="00C1170E"/>
    <w:rsid w:val="00C11AF5"/>
    <w:rsid w:val="00C13608"/>
    <w:rsid w:val="00C136CB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53B7D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6476"/>
    <w:rsid w:val="00CA01FE"/>
    <w:rsid w:val="00CA0723"/>
    <w:rsid w:val="00CA18F4"/>
    <w:rsid w:val="00CA29AE"/>
    <w:rsid w:val="00CA353F"/>
    <w:rsid w:val="00CA35AE"/>
    <w:rsid w:val="00CA3CD1"/>
    <w:rsid w:val="00CA5B23"/>
    <w:rsid w:val="00CA6057"/>
    <w:rsid w:val="00CB20E7"/>
    <w:rsid w:val="00CB29CE"/>
    <w:rsid w:val="00CB6467"/>
    <w:rsid w:val="00CC0DD5"/>
    <w:rsid w:val="00CD1BE3"/>
    <w:rsid w:val="00CD3BAA"/>
    <w:rsid w:val="00CD6F4D"/>
    <w:rsid w:val="00CD6FED"/>
    <w:rsid w:val="00CE01B6"/>
    <w:rsid w:val="00CE251F"/>
    <w:rsid w:val="00CE3713"/>
    <w:rsid w:val="00CE5B3B"/>
    <w:rsid w:val="00CF0B07"/>
    <w:rsid w:val="00CF4214"/>
    <w:rsid w:val="00CF4586"/>
    <w:rsid w:val="00D02DC9"/>
    <w:rsid w:val="00D033A2"/>
    <w:rsid w:val="00D05FA1"/>
    <w:rsid w:val="00D0758B"/>
    <w:rsid w:val="00D11045"/>
    <w:rsid w:val="00D11076"/>
    <w:rsid w:val="00D1451D"/>
    <w:rsid w:val="00D15975"/>
    <w:rsid w:val="00D210FB"/>
    <w:rsid w:val="00D2284D"/>
    <w:rsid w:val="00D23143"/>
    <w:rsid w:val="00D23187"/>
    <w:rsid w:val="00D25464"/>
    <w:rsid w:val="00D264EA"/>
    <w:rsid w:val="00D30D45"/>
    <w:rsid w:val="00D3443C"/>
    <w:rsid w:val="00D34499"/>
    <w:rsid w:val="00D369DD"/>
    <w:rsid w:val="00D46BF2"/>
    <w:rsid w:val="00D50427"/>
    <w:rsid w:val="00D50601"/>
    <w:rsid w:val="00D5214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7739C"/>
    <w:rsid w:val="00D81A2E"/>
    <w:rsid w:val="00D8376D"/>
    <w:rsid w:val="00D83D4B"/>
    <w:rsid w:val="00D90EB6"/>
    <w:rsid w:val="00D9501E"/>
    <w:rsid w:val="00DB1198"/>
    <w:rsid w:val="00DB4B29"/>
    <w:rsid w:val="00DC272D"/>
    <w:rsid w:val="00DD02B5"/>
    <w:rsid w:val="00DD6103"/>
    <w:rsid w:val="00DE37F8"/>
    <w:rsid w:val="00DE7747"/>
    <w:rsid w:val="00DF01BB"/>
    <w:rsid w:val="00DF170D"/>
    <w:rsid w:val="00DF7B50"/>
    <w:rsid w:val="00E023BF"/>
    <w:rsid w:val="00E0586C"/>
    <w:rsid w:val="00E215F4"/>
    <w:rsid w:val="00E24C5A"/>
    <w:rsid w:val="00E25FB5"/>
    <w:rsid w:val="00E26DF3"/>
    <w:rsid w:val="00E3077B"/>
    <w:rsid w:val="00E31979"/>
    <w:rsid w:val="00E37250"/>
    <w:rsid w:val="00E40CF0"/>
    <w:rsid w:val="00E429A4"/>
    <w:rsid w:val="00E4378F"/>
    <w:rsid w:val="00E44E88"/>
    <w:rsid w:val="00E4505D"/>
    <w:rsid w:val="00E527F0"/>
    <w:rsid w:val="00E57B8E"/>
    <w:rsid w:val="00E620E0"/>
    <w:rsid w:val="00E64CAD"/>
    <w:rsid w:val="00E65873"/>
    <w:rsid w:val="00E65897"/>
    <w:rsid w:val="00E66438"/>
    <w:rsid w:val="00E67A67"/>
    <w:rsid w:val="00E71494"/>
    <w:rsid w:val="00E73360"/>
    <w:rsid w:val="00E76056"/>
    <w:rsid w:val="00E76D3A"/>
    <w:rsid w:val="00E76F82"/>
    <w:rsid w:val="00E81D81"/>
    <w:rsid w:val="00E859B7"/>
    <w:rsid w:val="00E901E4"/>
    <w:rsid w:val="00E92771"/>
    <w:rsid w:val="00E942D4"/>
    <w:rsid w:val="00E96507"/>
    <w:rsid w:val="00EA0377"/>
    <w:rsid w:val="00EA5225"/>
    <w:rsid w:val="00EA5AF5"/>
    <w:rsid w:val="00EA6582"/>
    <w:rsid w:val="00EA7C45"/>
    <w:rsid w:val="00EB0F58"/>
    <w:rsid w:val="00EC619F"/>
    <w:rsid w:val="00EC7884"/>
    <w:rsid w:val="00ED0187"/>
    <w:rsid w:val="00ED4AC9"/>
    <w:rsid w:val="00ED5BC3"/>
    <w:rsid w:val="00ED6B2F"/>
    <w:rsid w:val="00ED7155"/>
    <w:rsid w:val="00EE03AA"/>
    <w:rsid w:val="00EE05AD"/>
    <w:rsid w:val="00EE2658"/>
    <w:rsid w:val="00EE32BF"/>
    <w:rsid w:val="00EF0C6E"/>
    <w:rsid w:val="00EF753C"/>
    <w:rsid w:val="00F02F30"/>
    <w:rsid w:val="00F126DC"/>
    <w:rsid w:val="00F13F70"/>
    <w:rsid w:val="00F210B1"/>
    <w:rsid w:val="00F224CA"/>
    <w:rsid w:val="00F23A29"/>
    <w:rsid w:val="00F246A2"/>
    <w:rsid w:val="00F25AE7"/>
    <w:rsid w:val="00F27569"/>
    <w:rsid w:val="00F32CDA"/>
    <w:rsid w:val="00F34F84"/>
    <w:rsid w:val="00F4023F"/>
    <w:rsid w:val="00F40A16"/>
    <w:rsid w:val="00F42689"/>
    <w:rsid w:val="00F43C41"/>
    <w:rsid w:val="00F45B38"/>
    <w:rsid w:val="00F50082"/>
    <w:rsid w:val="00F50ED8"/>
    <w:rsid w:val="00F51BBA"/>
    <w:rsid w:val="00F54BFE"/>
    <w:rsid w:val="00F56BB3"/>
    <w:rsid w:val="00F624BC"/>
    <w:rsid w:val="00F67675"/>
    <w:rsid w:val="00F72433"/>
    <w:rsid w:val="00F77AEB"/>
    <w:rsid w:val="00F85DFB"/>
    <w:rsid w:val="00F863F9"/>
    <w:rsid w:val="00F915CF"/>
    <w:rsid w:val="00F9231C"/>
    <w:rsid w:val="00F96647"/>
    <w:rsid w:val="00F97B05"/>
    <w:rsid w:val="00FA0C6A"/>
    <w:rsid w:val="00FA3069"/>
    <w:rsid w:val="00FB155B"/>
    <w:rsid w:val="00FB7988"/>
    <w:rsid w:val="00FC2784"/>
    <w:rsid w:val="00FC3F60"/>
    <w:rsid w:val="00FC4518"/>
    <w:rsid w:val="00FC5393"/>
    <w:rsid w:val="00FD5820"/>
    <w:rsid w:val="00FD7980"/>
    <w:rsid w:val="00FE083C"/>
    <w:rsid w:val="00FE0F2A"/>
    <w:rsid w:val="00FE6DF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2188867994765943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9 месяцев 2019г.xlsx]Капит'!$B$2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9 месяцев 2019г.xlsx]Капит'!$F$1:$L$1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
</c:v>
                </c:pt>
                <c:pt idx="6">
                  <c:v>9 мес. 2019г.
</c:v>
                </c:pt>
              </c:strCache>
            </c:strRef>
          </c:cat>
          <c:val>
            <c:numRef>
              <c:f>'[таблицы для ФХД за 9 месяцев 2019г.xlsx]Капит'!$F$3:$L$3</c:f>
              <c:numCache>
                <c:formatCode>#,##0</c:formatCode>
                <c:ptCount val="7"/>
                <c:pt idx="0">
                  <c:v>214.176219</c:v>
                </c:pt>
                <c:pt idx="1">
                  <c:v>313.48241200000001</c:v>
                </c:pt>
                <c:pt idx="2">
                  <c:v>503.60678200000001</c:v>
                </c:pt>
                <c:pt idx="3">
                  <c:v>550.15662299999997</c:v>
                </c:pt>
                <c:pt idx="4">
                  <c:v>590.84847000000002</c:v>
                </c:pt>
                <c:pt idx="5">
                  <c:v>628.58299999999997</c:v>
                </c:pt>
                <c:pt idx="6">
                  <c:v>603.48304200000007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669120"/>
        <c:axId val="99670656"/>
      </c:lineChart>
      <c:catAx>
        <c:axId val="996691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9670656"/>
        <c:crosses val="autoZero"/>
        <c:auto val="1"/>
        <c:lblAlgn val="ctr"/>
        <c:lblOffset val="100"/>
        <c:noMultiLvlLbl val="0"/>
      </c:catAx>
      <c:valAx>
        <c:axId val="99670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crossAx val="99669120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9 месяцев 2019г.xlsx]ДохРасх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9 месяцев 2019г.xlsx]ДохРасх (2)'!$B$4:$E$4</c:f>
              <c:strCache>
                <c:ptCount val="4"/>
                <c:pt idx="0">
                  <c:v>Факт
2017 г.</c:v>
                </c:pt>
                <c:pt idx="1">
                  <c:v>Факт
2018 г.</c:v>
                </c:pt>
                <c:pt idx="2">
                  <c:v>9 мес.2019 г.</c:v>
                </c:pt>
                <c:pt idx="3">
                  <c:v>Прогноз
2019 г.</c:v>
                </c:pt>
              </c:strCache>
            </c:strRef>
          </c:cat>
          <c:val>
            <c:numRef>
              <c:f>'[таблицы для ФХД за 9 месяцев 2019г.xlsx]ДохРасх (2)'!$B$5:$E$5</c:f>
              <c:numCache>
                <c:formatCode>#,##0</c:formatCode>
                <c:ptCount val="4"/>
                <c:pt idx="0">
                  <c:v>210.33532600000001</c:v>
                </c:pt>
                <c:pt idx="1">
                  <c:v>273.15671900000001</c:v>
                </c:pt>
                <c:pt idx="2">
                  <c:v>353.42153404652004</c:v>
                </c:pt>
                <c:pt idx="3">
                  <c:v>470.50446771786068</c:v>
                </c:pt>
              </c:numCache>
            </c:numRef>
          </c:val>
        </c:ser>
        <c:ser>
          <c:idx val="1"/>
          <c:order val="1"/>
          <c:tx>
            <c:strRef>
              <c:f>'[таблицы для ФХД за 9 месяцев 2019г.xlsx]ДохРасх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9 месяцев 2019г.xlsx]ДохРасх (2)'!$B$4:$E$4</c:f>
              <c:strCache>
                <c:ptCount val="4"/>
                <c:pt idx="0">
                  <c:v>Факт
2017 г.</c:v>
                </c:pt>
                <c:pt idx="1">
                  <c:v>Факт
2018 г.</c:v>
                </c:pt>
                <c:pt idx="2">
                  <c:v>9 мес.2019 г.</c:v>
                </c:pt>
                <c:pt idx="3">
                  <c:v>Прогноз
2019 г.</c:v>
                </c:pt>
              </c:strCache>
            </c:strRef>
          </c:cat>
          <c:val>
            <c:numRef>
              <c:f>'[таблицы для ФХД за 9 месяцев 2019г.xlsx]ДохРасх (2)'!$B$6:$E$6</c:f>
              <c:numCache>
                <c:formatCode>#,##0</c:formatCode>
                <c:ptCount val="4"/>
                <c:pt idx="0">
                  <c:v>211.83406600000001</c:v>
                </c:pt>
                <c:pt idx="1">
                  <c:v>281.15766200000002</c:v>
                </c:pt>
                <c:pt idx="2">
                  <c:v>319.36556905128668</c:v>
                </c:pt>
                <c:pt idx="3">
                  <c:v>427.29119557254523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853248"/>
        <c:axId val="76854784"/>
        <c:axId val="0"/>
      </c:bar3DChart>
      <c:catAx>
        <c:axId val="76853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854784"/>
        <c:crosses val="autoZero"/>
        <c:auto val="1"/>
        <c:lblAlgn val="ctr"/>
        <c:lblOffset val="100"/>
        <c:noMultiLvlLbl val="0"/>
      </c:catAx>
      <c:valAx>
        <c:axId val="76854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853248"/>
        <c:crosses val="autoZero"/>
        <c:crossBetween val="between"/>
      </c:valAx>
    </c:plotArea>
    <c:legend>
      <c:legendPos val="b"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8B3C-D032-47B9-9574-0732A5D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Алинуров Сагын Алинурулы</cp:lastModifiedBy>
  <cp:revision>55</cp:revision>
  <cp:lastPrinted>2019-06-05T05:54:00Z</cp:lastPrinted>
  <dcterms:created xsi:type="dcterms:W3CDTF">2019-09-04T11:27:00Z</dcterms:created>
  <dcterms:modified xsi:type="dcterms:W3CDTF">2020-01-09T10:14:00Z</dcterms:modified>
</cp:coreProperties>
</file>