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5" w:rsidRPr="00364575" w:rsidRDefault="00364575" w:rsidP="00364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«Тау-Кен Самұрық» ҰТК» АҚ 2019 жылдың </w:t>
      </w:r>
      <w:r w:rsidR="006B6D5B">
        <w:rPr>
          <w:rFonts w:ascii="Times New Roman" w:hAnsi="Times New Roman" w:cs="Times New Roman"/>
          <w:b/>
          <w:sz w:val="28"/>
          <w:szCs w:val="28"/>
          <w:lang w:val="kk-KZ"/>
        </w:rPr>
        <w:t>6 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қаржы-шаруашылық қызметінің нәтижелері туралы ақпарат </w:t>
      </w:r>
    </w:p>
    <w:p w:rsidR="000C6CCE" w:rsidRPr="00364575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C6C28" w:rsidRPr="005C7374" w:rsidRDefault="00364575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Қызметтің маңызды көрсеткіштері</w:t>
      </w:r>
    </w:p>
    <w:p w:rsidR="00A53538" w:rsidRPr="005C7374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4575" w:rsidRPr="00494298" w:rsidRDefault="00364575" w:rsidP="0036457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4942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Өндірістік көрсеткіштер </w:t>
      </w:r>
    </w:p>
    <w:p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056"/>
        <w:gridCol w:w="1864"/>
        <w:gridCol w:w="1470"/>
        <w:gridCol w:w="1243"/>
        <w:gridCol w:w="1432"/>
        <w:gridCol w:w="1355"/>
      </w:tblGrid>
      <w:tr w:rsidR="00C07E97" w:rsidRPr="00C07E97" w:rsidTr="00C07E97">
        <w:trPr>
          <w:trHeight w:val="675"/>
        </w:trPr>
        <w:tc>
          <w:tcPr>
            <w:tcW w:w="20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80" w:type="dxa"/>
            <w:vMerge w:val="restar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8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2018ж. 6 </w:t>
            </w:r>
            <w:proofErr w:type="spellStart"/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айы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ж. 6 </w:t>
            </w:r>
            <w:proofErr w:type="spellStart"/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айы</w:t>
            </w:r>
            <w:proofErr w:type="spellEnd"/>
          </w:p>
        </w:tc>
        <w:tc>
          <w:tcPr>
            <w:tcW w:w="1360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ж.</w:t>
            </w:r>
          </w:p>
        </w:tc>
      </w:tr>
      <w:tr w:rsidR="00C07E97" w:rsidRPr="00C07E97" w:rsidTr="00C07E97">
        <w:trPr>
          <w:trHeight w:val="315"/>
        </w:trPr>
        <w:tc>
          <w:tcPr>
            <w:tcW w:w="20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Болжам</w:t>
            </w:r>
          </w:p>
        </w:tc>
      </w:tr>
      <w:tr w:rsidR="00C07E97" w:rsidRPr="00C07E97" w:rsidTr="00C07E97">
        <w:trPr>
          <w:trHeight w:val="525"/>
        </w:trPr>
        <w:tc>
          <w:tcPr>
            <w:tcW w:w="2060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Аффинаждық алтын өндірісі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мың унция/тонна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643,0/20,7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484,5/15,6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 / 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868,1/27,9</w:t>
            </w:r>
          </w:p>
        </w:tc>
      </w:tr>
      <w:tr w:rsidR="00C07E97" w:rsidRPr="00C07E97" w:rsidTr="00C07E97">
        <w:trPr>
          <w:trHeight w:val="525"/>
        </w:trPr>
        <w:tc>
          <w:tcPr>
            <w:tcW w:w="20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Металлургиялық кремний өндірісі</w:t>
            </w:r>
          </w:p>
        </w:tc>
        <w:tc>
          <w:tcPr>
            <w:tcW w:w="18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4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11 363</w:t>
            </w:r>
          </w:p>
        </w:tc>
        <w:tc>
          <w:tcPr>
            <w:tcW w:w="11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11 978</w:t>
            </w:r>
          </w:p>
        </w:tc>
        <w:tc>
          <w:tcPr>
            <w:tcW w:w="146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10 175</w:t>
            </w:r>
          </w:p>
        </w:tc>
        <w:tc>
          <w:tcPr>
            <w:tcW w:w="13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C07E97" w:rsidRPr="00C07E97" w:rsidRDefault="00C07E97" w:rsidP="00C0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15 183</w:t>
            </w:r>
          </w:p>
        </w:tc>
      </w:tr>
    </w:tbl>
    <w:p w:rsidR="00A30746" w:rsidRPr="005C7374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5DF4" w:rsidRPr="00364575" w:rsidRDefault="00364575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қаласындағы аффинаждық зауытта тазартылған алтын өндірісі есепті кезеңде </w:t>
      </w:r>
      <w:r w:rsidR="00435BA9">
        <w:rPr>
          <w:rFonts w:ascii="Times New Roman" w:hAnsi="Times New Roman" w:cs="Times New Roman"/>
          <w:sz w:val="28"/>
          <w:szCs w:val="28"/>
        </w:rPr>
        <w:t>484,</w:t>
      </w:r>
      <w:r w:rsidR="00435BA9" w:rsidRPr="00435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унци</w:t>
      </w:r>
      <w:r>
        <w:rPr>
          <w:rFonts w:ascii="Times New Roman" w:hAnsi="Times New Roman" w:cs="Times New Roman"/>
          <w:sz w:val="28"/>
          <w:szCs w:val="28"/>
          <w:lang w:val="kk-KZ"/>
        </w:rPr>
        <w:t>яны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435BA9">
        <w:rPr>
          <w:rFonts w:ascii="Times New Roman" w:hAnsi="Times New Roman" w:cs="Times New Roman"/>
          <w:sz w:val="28"/>
          <w:szCs w:val="28"/>
          <w:lang w:val="kk-KZ"/>
        </w:rPr>
        <w:t>21,3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тонн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құрады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BA9">
        <w:rPr>
          <w:rFonts w:ascii="Times New Roman" w:hAnsi="Times New Roman" w:cs="Times New Roman"/>
          <w:sz w:val="28"/>
          <w:szCs w:val="28"/>
          <w:lang w:val="kk-KZ"/>
        </w:rPr>
        <w:t>93,76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унци</w:t>
      </w:r>
      <w:r>
        <w:rPr>
          <w:rFonts w:ascii="Times New Roman" w:hAnsi="Times New Roman" w:cs="Times New Roman"/>
          <w:sz w:val="28"/>
          <w:szCs w:val="28"/>
          <w:lang w:val="kk-KZ"/>
        </w:rPr>
        <w:t>ясы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2,1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тонн</w:t>
      </w:r>
      <w:r>
        <w:rPr>
          <w:rFonts w:ascii="Times New Roman" w:hAnsi="Times New Roman" w:cs="Times New Roman"/>
          <w:sz w:val="28"/>
          <w:szCs w:val="28"/>
          <w:lang w:val="kk-KZ"/>
        </w:rPr>
        <w:t>асы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алыс-беріс негізінде (толлинг) алынған шикізаттан қайта өңделген.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Осылайша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тазартылған алтын өндірісінің нақты көрсеткіші</w:t>
      </w:r>
      <w:r w:rsidR="006B6D5B">
        <w:rPr>
          <w:rFonts w:ascii="Times New Roman" w:hAnsi="Times New Roman" w:cs="Times New Roman"/>
          <w:sz w:val="28"/>
          <w:szCs w:val="28"/>
          <w:lang w:val="kk-KZ"/>
        </w:rPr>
        <w:t xml:space="preserve"> 2019 жылдың </w:t>
      </w:r>
      <w:r w:rsidR="00207AA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B6D5B">
        <w:rPr>
          <w:rFonts w:ascii="Times New Roman" w:hAnsi="Times New Roman" w:cs="Times New Roman"/>
          <w:sz w:val="28"/>
          <w:szCs w:val="28"/>
          <w:lang w:val="kk-KZ"/>
        </w:rPr>
        <w:t xml:space="preserve"> айында жоспарға қарағанда 3</w:t>
      </w:r>
      <w:r w:rsidR="00207AA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-ға асыра орындалған.</w:t>
      </w:r>
    </w:p>
    <w:p w:rsidR="00B03FA4" w:rsidRPr="00364575" w:rsidRDefault="00364575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қаласындағы зауытта ме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таллурги</w:t>
      </w:r>
      <w:r>
        <w:rPr>
          <w:rFonts w:ascii="Times New Roman" w:hAnsi="Times New Roman" w:cs="Times New Roman"/>
          <w:sz w:val="28"/>
          <w:szCs w:val="28"/>
          <w:lang w:val="kk-KZ"/>
        </w:rPr>
        <w:t>ялық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 xml:space="preserve"> кремни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өндірісінің жоспары 2019 жылдың </w:t>
      </w:r>
      <w:r w:rsidR="00207AA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B6D5B">
        <w:rPr>
          <w:rFonts w:ascii="Times New Roman" w:hAnsi="Times New Roman" w:cs="Times New Roman"/>
          <w:sz w:val="28"/>
          <w:szCs w:val="28"/>
          <w:lang w:val="kk-KZ"/>
        </w:rPr>
        <w:t xml:space="preserve"> айы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есепті кезеңде </w:t>
      </w:r>
      <w:r w:rsidR="00207AAC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364575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</w:t>
      </w:r>
      <w:r w:rsidR="00B03FA4" w:rsidRPr="0036457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04114" w:rsidRPr="00364575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4575" w:rsidRPr="00A53538" w:rsidRDefault="00364575" w:rsidP="0036457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Қаржылық көрсеткштер</w:t>
      </w:r>
    </w:p>
    <w:p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9996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551"/>
        <w:gridCol w:w="1843"/>
        <w:gridCol w:w="1827"/>
      </w:tblGrid>
      <w:tr w:rsidR="00121E0D" w:rsidRPr="004511ED" w:rsidTr="0073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121E0D" w:rsidRPr="00364575" w:rsidRDefault="00364575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1973" w:type="dxa"/>
            <w:hideMark/>
          </w:tcPr>
          <w:p w:rsidR="00121E0D" w:rsidRPr="00364575" w:rsidRDefault="00364575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  <w:t>Өлшем бірлігі</w:t>
            </w:r>
          </w:p>
        </w:tc>
        <w:tc>
          <w:tcPr>
            <w:tcW w:w="1551" w:type="dxa"/>
          </w:tcPr>
          <w:p w:rsidR="0051358F" w:rsidRPr="00364575" w:rsidRDefault="00364575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01</w:t>
            </w: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ж</w:t>
            </w:r>
            <w:r w:rsidR="0051358F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.</w:t>
            </w:r>
            <w:r w:rsid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9</w:t>
            </w:r>
            <w:r w:rsidR="006B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 xml:space="preserve"> айы</w:t>
            </w:r>
          </w:p>
          <w:p w:rsidR="00121E0D" w:rsidRPr="004511ED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  <w:t>Факт</w:t>
            </w:r>
          </w:p>
        </w:tc>
        <w:tc>
          <w:tcPr>
            <w:tcW w:w="1843" w:type="dxa"/>
            <w:hideMark/>
          </w:tcPr>
          <w:p w:rsidR="00C11AF5" w:rsidRPr="00364575" w:rsidRDefault="003A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2019</w:t>
            </w:r>
            <w:r w:rsidR="003645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ж</w:t>
            </w:r>
            <w:r w:rsidR="00C11AF5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.</w:t>
            </w:r>
            <w:r w:rsid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9</w:t>
            </w:r>
            <w:r w:rsidR="006B6D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 xml:space="preserve"> айы</w:t>
            </w:r>
          </w:p>
          <w:p w:rsidR="00121E0D" w:rsidRPr="004511ED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201</w:t>
            </w:r>
            <w:r w:rsidR="00800D30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9</w:t>
            </w:r>
            <w:r w:rsidR="00364575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 xml:space="preserve"> </w:t>
            </w:r>
            <w:r w:rsidR="003645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ж</w:t>
            </w: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.</w:t>
            </w:r>
          </w:p>
          <w:p w:rsidR="00121E0D" w:rsidRPr="004511ED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/>
              </w:rPr>
              <w:t>Факт</w:t>
            </w:r>
          </w:p>
        </w:tc>
        <w:tc>
          <w:tcPr>
            <w:tcW w:w="1827" w:type="dxa"/>
          </w:tcPr>
          <w:p w:rsidR="00121E0D" w:rsidRPr="004511ED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201</w:t>
            </w:r>
            <w:r w:rsidR="0032005B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9</w:t>
            </w:r>
            <w:r w:rsidR="00364575"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 xml:space="preserve"> </w:t>
            </w:r>
            <w:r w:rsidR="0036457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ж</w:t>
            </w:r>
            <w:r w:rsidRPr="004511E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.</w:t>
            </w:r>
          </w:p>
          <w:p w:rsidR="00121E0D" w:rsidRPr="00364575" w:rsidRDefault="003645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kk-KZ"/>
              </w:rPr>
              <w:t>Болжам</w:t>
            </w:r>
          </w:p>
        </w:tc>
      </w:tr>
      <w:tr w:rsidR="00465D17" w:rsidRPr="004511ED" w:rsidTr="00D0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465D17" w:rsidRPr="004511ED" w:rsidRDefault="00465D17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  <w:t>EBITDA margin*</w:t>
            </w:r>
          </w:p>
        </w:tc>
        <w:tc>
          <w:tcPr>
            <w:tcW w:w="1973" w:type="dxa"/>
            <w:vAlign w:val="center"/>
            <w:hideMark/>
          </w:tcPr>
          <w:p w:rsidR="00465D17" w:rsidRPr="004511ED" w:rsidRDefault="00465D17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%</w:t>
            </w:r>
          </w:p>
        </w:tc>
        <w:tc>
          <w:tcPr>
            <w:tcW w:w="1551" w:type="dxa"/>
          </w:tcPr>
          <w:p w:rsidR="00465D17" w:rsidRPr="004511ED" w:rsidRDefault="00465D17" w:rsidP="0046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(0,75)</w:t>
            </w:r>
          </w:p>
        </w:tc>
        <w:tc>
          <w:tcPr>
            <w:tcW w:w="1843" w:type="dxa"/>
            <w:noWrap/>
          </w:tcPr>
          <w:p w:rsidR="00465D17" w:rsidRPr="004511ED" w:rsidRDefault="00465D17" w:rsidP="0046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0,76</w:t>
            </w:r>
          </w:p>
        </w:tc>
        <w:tc>
          <w:tcPr>
            <w:tcW w:w="1827" w:type="dxa"/>
          </w:tcPr>
          <w:p w:rsidR="00465D17" w:rsidRPr="004511ED" w:rsidRDefault="00465D17" w:rsidP="0046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(0,26)</w:t>
            </w:r>
          </w:p>
        </w:tc>
      </w:tr>
      <w:tr w:rsidR="00465D17" w:rsidRPr="004511ED" w:rsidTr="00D0074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:rsidR="00465D17" w:rsidRPr="004511ED" w:rsidRDefault="00465D17" w:rsidP="00364575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  <w:t>Таза табыс</w:t>
            </w:r>
            <w:r w:rsidRPr="004511ED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  <w:t>шығын</w:t>
            </w:r>
            <w:r w:rsidRPr="004511ED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kk-KZ"/>
              </w:rPr>
              <w:t>)</w:t>
            </w:r>
          </w:p>
        </w:tc>
        <w:tc>
          <w:tcPr>
            <w:tcW w:w="1973" w:type="dxa"/>
            <w:vAlign w:val="center"/>
          </w:tcPr>
          <w:p w:rsidR="00465D17" w:rsidRPr="004511ED" w:rsidRDefault="00465D17" w:rsidP="00364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млрд. 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ң</w:t>
            </w: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ге</w:t>
            </w:r>
          </w:p>
        </w:tc>
        <w:tc>
          <w:tcPr>
            <w:tcW w:w="1551" w:type="dxa"/>
          </w:tcPr>
          <w:p w:rsidR="00465D17" w:rsidRPr="004511ED" w:rsidRDefault="00465D17" w:rsidP="0046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39,1</w:t>
            </w:r>
          </w:p>
        </w:tc>
        <w:tc>
          <w:tcPr>
            <w:tcW w:w="1843" w:type="dxa"/>
            <w:noWrap/>
          </w:tcPr>
          <w:p w:rsidR="00465D17" w:rsidRPr="004511ED" w:rsidRDefault="00465D17" w:rsidP="0046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34,0</w:t>
            </w:r>
          </w:p>
        </w:tc>
        <w:tc>
          <w:tcPr>
            <w:tcW w:w="1827" w:type="dxa"/>
          </w:tcPr>
          <w:p w:rsidR="00465D17" w:rsidRPr="004511ED" w:rsidRDefault="00465D17" w:rsidP="0046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511E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43,2</w:t>
            </w:r>
          </w:p>
        </w:tc>
      </w:tr>
    </w:tbl>
    <w:p w:rsidR="001C6946" w:rsidRPr="00087528" w:rsidRDefault="00087528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      </w:t>
      </w:r>
      <w:r w:rsidRPr="00B069B9">
        <w:rPr>
          <w:rFonts w:ascii="Times New Roman" w:hAnsi="Times New Roman" w:cs="Times New Roman"/>
          <w:i/>
          <w:sz w:val="26"/>
          <w:szCs w:val="26"/>
          <w:lang w:val="kk-KZ"/>
        </w:rPr>
        <w:t xml:space="preserve">* - </w:t>
      </w:r>
      <w:r w:rsidRPr="00087528">
        <w:rPr>
          <w:rFonts w:ascii="Times New Roman" w:hAnsi="Times New Roman" w:cs="Times New Roman"/>
          <w:i/>
          <w:sz w:val="26"/>
          <w:szCs w:val="26"/>
          <w:lang w:val="kk-KZ"/>
        </w:rPr>
        <w:t>көрсеткіштер Жалғыз акционер бекіткен әдістеме бойынша есептелген</w:t>
      </w:r>
    </w:p>
    <w:p w:rsidR="00087528" w:rsidRDefault="00087528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11650" w:rsidRPr="00211650" w:rsidRDefault="00211650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6B6D5B">
        <w:rPr>
          <w:rFonts w:ascii="Times New Roman" w:hAnsi="Times New Roman" w:cs="Times New Roman"/>
          <w:sz w:val="28"/>
          <w:szCs w:val="28"/>
          <w:lang w:val="kk-KZ"/>
        </w:rPr>
        <w:t>6 айында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66EF">
        <w:rPr>
          <w:rFonts w:ascii="Times New Roman" w:hAnsi="Times New Roman" w:cs="Times New Roman"/>
          <w:b/>
          <w:sz w:val="28"/>
          <w:szCs w:val="28"/>
          <w:lang w:val="kk-KZ"/>
        </w:rPr>
        <w:t>EBITDA margin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9B9">
        <w:rPr>
          <w:rFonts w:ascii="Times New Roman" w:hAnsi="Times New Roman" w:cs="Times New Roman"/>
          <w:sz w:val="28"/>
          <w:szCs w:val="28"/>
          <w:lang w:val="kk-KZ"/>
        </w:rPr>
        <w:t>нақты көрсеткіші 0,76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-ды құрады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Өткен жылдың ұқсас кезеңмен салыстырғанда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 EBITDA margin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көрсеткішінің оң серпініне (1) Жалпы пайданың (</w:t>
      </w:r>
      <w:r w:rsidR="00B069B9">
        <w:rPr>
          <w:rFonts w:ascii="Times New Roman" w:hAnsi="Times New Roman" w:cs="Times New Roman"/>
          <w:sz w:val="28"/>
          <w:szCs w:val="28"/>
          <w:lang w:val="kk-KZ"/>
        </w:rPr>
        <w:t>+3,4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млрд.теңге) ұлғаюы,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(2) Жалпы және әкімшілік шығыстардың 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B069B9">
        <w:rPr>
          <w:rFonts w:ascii="Times New Roman" w:hAnsi="Times New Roman" w:cs="Times New Roman"/>
          <w:sz w:val="28"/>
          <w:szCs w:val="28"/>
          <w:lang w:val="kk-KZ"/>
        </w:rPr>
        <w:t>0,2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 млрд.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C66EF">
        <w:rPr>
          <w:rFonts w:ascii="Times New Roman" w:hAnsi="Times New Roman" w:cs="Times New Roman"/>
          <w:sz w:val="28"/>
          <w:szCs w:val="28"/>
          <w:lang w:val="kk-KZ"/>
        </w:rPr>
        <w:t xml:space="preserve">ге)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төмендеуі салда</w:t>
      </w:r>
      <w:r w:rsidR="005918AE">
        <w:rPr>
          <w:rFonts w:ascii="Times New Roman" w:hAnsi="Times New Roman" w:cs="Times New Roman"/>
          <w:sz w:val="28"/>
          <w:szCs w:val="28"/>
          <w:lang w:val="kk-KZ"/>
        </w:rPr>
        <w:t xml:space="preserve">ры </w:t>
      </w:r>
      <w:r>
        <w:rPr>
          <w:rFonts w:ascii="Times New Roman" w:hAnsi="Times New Roman" w:cs="Times New Roman"/>
          <w:sz w:val="28"/>
          <w:szCs w:val="28"/>
          <w:lang w:val="kk-KZ"/>
        </w:rPr>
        <w:t>себеп болған.</w:t>
      </w:r>
    </w:p>
    <w:p w:rsidR="00B776A1" w:rsidRDefault="00771AAC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ұқсас кезеңімен са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лыстырғанда 2019 жылдың </w:t>
      </w:r>
      <w:r w:rsidR="008A087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 айында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 табыстың </w:t>
      </w:r>
      <w:r w:rsidR="008A0877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12FB">
        <w:rPr>
          <w:rFonts w:ascii="Times New Roman" w:hAnsi="Times New Roman" w:cs="Times New Roman"/>
          <w:sz w:val="28"/>
          <w:szCs w:val="28"/>
          <w:lang w:val="kk-KZ"/>
        </w:rPr>
        <w:t>млрд. 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ңгеге төмендеуі негізінен (1) 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активтердің құнсыздануы (-10,1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 млрд.теңге), (2) операциялық емес кірістердің төмендеуіне (-1,</w:t>
      </w:r>
      <w:r w:rsidR="008A08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 млрд.теңге), (3)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 үлестік қатысу әдісімен ескерген «Қазмырыш» ЖШ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С таза табысының 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ұлғаюына (+</w:t>
      </w:r>
      <w:r w:rsidR="008A0877">
        <w:rPr>
          <w:rFonts w:ascii="Times New Roman" w:hAnsi="Times New Roman" w:cs="Times New Roman"/>
          <w:sz w:val="28"/>
          <w:szCs w:val="28"/>
          <w:lang w:val="kk-KZ"/>
        </w:rPr>
        <w:t>3,6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8B9" w:rsidRPr="001A12FB">
        <w:rPr>
          <w:rFonts w:ascii="Times New Roman" w:hAnsi="Times New Roman" w:cs="Times New Roman"/>
          <w:sz w:val="28"/>
          <w:szCs w:val="28"/>
          <w:lang w:val="kk-KZ"/>
        </w:rPr>
        <w:t>млрд. те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268B9" w:rsidRPr="001A12FB">
        <w:rPr>
          <w:rFonts w:ascii="Times New Roman" w:hAnsi="Times New Roman" w:cs="Times New Roman"/>
          <w:sz w:val="28"/>
          <w:szCs w:val="28"/>
          <w:lang w:val="kk-KZ"/>
        </w:rPr>
        <w:t>ге)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>; (4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Операциялық 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>пайданың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ұлғаюына 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268B9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8A0877">
        <w:rPr>
          <w:rFonts w:ascii="Times New Roman" w:hAnsi="Times New Roman" w:cs="Times New Roman"/>
          <w:sz w:val="28"/>
          <w:szCs w:val="28"/>
          <w:lang w:val="kk-KZ"/>
        </w:rPr>
        <w:t>3,4</w:t>
      </w:r>
      <w:r w:rsidRPr="001A12FB">
        <w:rPr>
          <w:rFonts w:ascii="Times New Roman" w:hAnsi="Times New Roman" w:cs="Times New Roman"/>
          <w:sz w:val="28"/>
          <w:szCs w:val="28"/>
          <w:lang w:val="kk-KZ"/>
        </w:rPr>
        <w:t xml:space="preserve"> млрд.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A12FB">
        <w:rPr>
          <w:rFonts w:ascii="Times New Roman" w:hAnsi="Times New Roman" w:cs="Times New Roman"/>
          <w:sz w:val="28"/>
          <w:szCs w:val="28"/>
          <w:lang w:val="kk-KZ"/>
        </w:rPr>
        <w:t>ге)</w:t>
      </w:r>
      <w:r w:rsidR="00A307F0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байланысты. </w:t>
      </w:r>
    </w:p>
    <w:p w:rsidR="00A307F0" w:rsidRDefault="00A307F0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A0877" w:rsidRPr="00771AAC" w:rsidRDefault="008A087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54BFE" w:rsidRPr="008A251E" w:rsidRDefault="00975475" w:rsidP="001A36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Капиталдың жеткіліктілік көрсеткштері туралы мәлімет </w:t>
      </w:r>
    </w:p>
    <w:p w:rsidR="008A251E" w:rsidRPr="00196864" w:rsidRDefault="008A251E" w:rsidP="008A251E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8A251E" w:rsidRPr="00196864" w:rsidRDefault="00196864" w:rsidP="008A2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noProof/>
        </w:rPr>
        <w:drawing>
          <wp:inline distT="0" distB="0" distL="0" distR="0" wp14:anchorId="4042E358" wp14:editId="4CF2D88D">
            <wp:extent cx="6152515" cy="3004185"/>
            <wp:effectExtent l="0" t="0" r="63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251E" w:rsidRDefault="008A251E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026" w:rsidRPr="00975475" w:rsidRDefault="0097547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B3BD9">
        <w:rPr>
          <w:rFonts w:ascii="Times New Roman" w:hAnsi="Times New Roman" w:cs="Times New Roman"/>
          <w:sz w:val="28"/>
          <w:szCs w:val="28"/>
          <w:lang w:val="kk-KZ"/>
        </w:rPr>
        <w:t>Компанияның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жеке капиталы </w:t>
      </w: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3B3BD9">
        <w:rPr>
          <w:rFonts w:ascii="Times New Roman" w:hAnsi="Times New Roman" w:cs="Times New Roman"/>
          <w:sz w:val="28"/>
          <w:szCs w:val="28"/>
          <w:lang w:val="kk-KZ"/>
        </w:rPr>
        <w:t xml:space="preserve"> жылғы 31 </w:t>
      </w:r>
      <w:r w:rsidR="00196864">
        <w:rPr>
          <w:rFonts w:ascii="Times New Roman" w:hAnsi="Times New Roman" w:cs="Times New Roman"/>
          <w:sz w:val="28"/>
          <w:szCs w:val="28"/>
          <w:lang w:val="kk-KZ"/>
        </w:rPr>
        <w:t>қыркүйегіндегі</w:t>
      </w:r>
      <w:r w:rsidRPr="003B3BD9">
        <w:rPr>
          <w:rFonts w:ascii="Times New Roman" w:hAnsi="Times New Roman" w:cs="Times New Roman"/>
          <w:sz w:val="28"/>
          <w:szCs w:val="28"/>
          <w:lang w:val="kk-KZ"/>
        </w:rPr>
        <w:t xml:space="preserve"> жағдай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2BC">
        <w:rPr>
          <w:rFonts w:ascii="Times New Roman" w:hAnsi="Times New Roman" w:cs="Times New Roman"/>
          <w:sz w:val="28"/>
          <w:szCs w:val="28"/>
          <w:lang w:val="kk-KZ"/>
        </w:rPr>
        <w:t>603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>млрд.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>ні құрайды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2018 жылғы 31 желтоқсандағы жеке капитал мөлшерімен салыстырғанда жеке капитал мөлшерінің </w:t>
      </w:r>
      <w:r w:rsidR="00E162BC">
        <w:rPr>
          <w:rFonts w:ascii="Times New Roman" w:hAnsi="Times New Roman" w:cs="Times New Roman"/>
          <w:sz w:val="28"/>
          <w:szCs w:val="28"/>
          <w:lang w:val="kk-KZ"/>
        </w:rPr>
        <w:t>25,1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BD9">
        <w:rPr>
          <w:rFonts w:ascii="Times New Roman" w:hAnsi="Times New Roman" w:cs="Times New Roman"/>
          <w:sz w:val="28"/>
          <w:szCs w:val="28"/>
          <w:lang w:val="kk-KZ"/>
        </w:rPr>
        <w:t>млрд. 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ңгеге 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>төмендеуіне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негізінен мынадай факторлар себеп болған</w:t>
      </w:r>
      <w:r w:rsidR="009F7026" w:rsidRPr="00975475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A7047A" w:rsidRPr="00975475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B7676" w:rsidRPr="00975475" w:rsidRDefault="00975475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«Қазмырыш» ЖШС есептілік валютасын қайта есептеу себебі бойынша капиталдың өзге құрамдауыштарының </w:t>
      </w:r>
      <w:r w:rsidR="00E162BC">
        <w:rPr>
          <w:rFonts w:ascii="Times New Roman" w:hAnsi="Times New Roman" w:cs="Times New Roman"/>
          <w:sz w:val="28"/>
          <w:szCs w:val="28"/>
          <w:lang w:val="kk-KZ"/>
        </w:rPr>
        <w:t>3,9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теңгеге </w:t>
      </w:r>
      <w:r w:rsidR="00E162BC">
        <w:rPr>
          <w:rFonts w:ascii="Times New Roman" w:hAnsi="Times New Roman" w:cs="Times New Roman"/>
          <w:sz w:val="28"/>
          <w:szCs w:val="28"/>
          <w:lang w:val="kk-KZ"/>
        </w:rPr>
        <w:t>өсуі</w:t>
      </w:r>
      <w:r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="00BB7676" w:rsidRPr="00975475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1958EE" w:rsidRPr="00975475" w:rsidRDefault="008A251E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дивидендтер төлеу есебінен 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975475" w:rsidRPr="003B2F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>бөлінбеген табысын</w:t>
      </w:r>
      <w:r w:rsidR="00975475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E162BC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9754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475" w:rsidRPr="003B2F9A">
        <w:rPr>
          <w:rFonts w:ascii="Times New Roman" w:hAnsi="Times New Roman" w:cs="Times New Roman"/>
          <w:sz w:val="28"/>
          <w:szCs w:val="28"/>
          <w:lang w:val="kk-KZ"/>
        </w:rPr>
        <w:t> млрд. теңге</w:t>
      </w:r>
      <w:r w:rsidR="00975475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>төмендеуінен</w:t>
      </w:r>
      <w:r w:rsidR="00165461" w:rsidRPr="0097547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165461" w:rsidRPr="00975475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7087E" w:rsidRPr="00975475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05D31" w:rsidRPr="00105D31" w:rsidRDefault="00105D31" w:rsidP="00105D3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05D31">
        <w:rPr>
          <w:rFonts w:ascii="Times New Roman" w:hAnsi="Times New Roman" w:cs="Times New Roman"/>
          <w:b/>
          <w:sz w:val="28"/>
          <w:szCs w:val="28"/>
          <w:lang w:val="kk-KZ"/>
        </w:rPr>
        <w:t>Өтімділік көрсеткіштері туралы мәлімет</w:t>
      </w:r>
    </w:p>
    <w:p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D6E" w:rsidRPr="00666166" w:rsidRDefault="00DC272D" w:rsidP="003E6D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C84E9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3E6D6E">
        <w:rPr>
          <w:rFonts w:ascii="Times New Roman" w:hAnsi="Times New Roman" w:cs="Times New Roman"/>
          <w:sz w:val="28"/>
          <w:szCs w:val="28"/>
          <w:lang w:val="kk-KZ"/>
        </w:rPr>
        <w:t xml:space="preserve">ының қорытындылары бойынша қаржылық тәуелділік көрсеткіші </w:t>
      </w:r>
      <w:r w:rsidR="003E6D6E" w:rsidRPr="00666166">
        <w:rPr>
          <w:rFonts w:ascii="Times New Roman" w:hAnsi="Times New Roman" w:cs="Times New Roman"/>
          <w:sz w:val="28"/>
          <w:szCs w:val="28"/>
        </w:rPr>
        <w:t>0,05</w:t>
      </w:r>
      <w:r w:rsidR="003E6D6E">
        <w:rPr>
          <w:rFonts w:ascii="Times New Roman" w:hAnsi="Times New Roman" w:cs="Times New Roman"/>
          <w:sz w:val="28"/>
          <w:szCs w:val="28"/>
          <w:lang w:val="kk-KZ"/>
        </w:rPr>
        <w:t xml:space="preserve"> құрайды</w:t>
      </w:r>
      <w:r w:rsidR="003E6D6E" w:rsidRPr="00666166">
        <w:rPr>
          <w:rFonts w:ascii="Times New Roman" w:hAnsi="Times New Roman" w:cs="Times New Roman"/>
          <w:sz w:val="28"/>
          <w:szCs w:val="28"/>
        </w:rPr>
        <w:t xml:space="preserve">, </w:t>
      </w:r>
      <w:r w:rsidR="003E6D6E">
        <w:rPr>
          <w:rFonts w:ascii="Times New Roman" w:hAnsi="Times New Roman" w:cs="Times New Roman"/>
          <w:sz w:val="28"/>
          <w:szCs w:val="28"/>
          <w:lang w:val="kk-KZ"/>
        </w:rPr>
        <w:t xml:space="preserve">жеке капиталды шоғырланыру </w:t>
      </w:r>
      <w:r w:rsidR="003E6D6E" w:rsidRPr="00666166">
        <w:rPr>
          <w:rFonts w:ascii="Times New Roman" w:hAnsi="Times New Roman" w:cs="Times New Roman"/>
          <w:sz w:val="28"/>
          <w:szCs w:val="28"/>
        </w:rPr>
        <w:t>0,95</w:t>
      </w:r>
      <w:r w:rsidR="003E6D6E">
        <w:rPr>
          <w:rFonts w:ascii="Times New Roman" w:hAnsi="Times New Roman" w:cs="Times New Roman"/>
          <w:sz w:val="28"/>
          <w:szCs w:val="28"/>
          <w:lang w:val="kk-KZ"/>
        </w:rPr>
        <w:t xml:space="preserve"> құрайды</w:t>
      </w:r>
      <w:r w:rsidR="003E6D6E" w:rsidRPr="00666166">
        <w:rPr>
          <w:rFonts w:ascii="Times New Roman" w:hAnsi="Times New Roman" w:cs="Times New Roman"/>
          <w:sz w:val="28"/>
          <w:szCs w:val="28"/>
        </w:rPr>
        <w:t xml:space="preserve">, </w:t>
      </w:r>
      <w:r w:rsidR="003E6D6E">
        <w:rPr>
          <w:rFonts w:ascii="Times New Roman" w:hAnsi="Times New Roman" w:cs="Times New Roman"/>
          <w:sz w:val="28"/>
          <w:szCs w:val="28"/>
          <w:lang w:val="kk-KZ"/>
        </w:rPr>
        <w:t xml:space="preserve">бұл Компанияның ағымдағы қаржылық жай-күйін тұрақты және сыртқы кредиторлардан тәуелсіз деп сипаттайды.  </w:t>
      </w:r>
    </w:p>
    <w:p w:rsidR="003E6D6E" w:rsidRDefault="003E6D6E" w:rsidP="003E6D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61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Ағымдағы өтімділік</w:t>
      </w:r>
      <w:r w:rsidRPr="00666166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193A80">
        <w:rPr>
          <w:rFonts w:ascii="Times New Roman" w:hAnsi="Times New Roman" w:cs="Times New Roman"/>
          <w:sz w:val="28"/>
          <w:szCs w:val="28"/>
          <w:lang w:val="kk-KZ"/>
        </w:rPr>
        <w:t xml:space="preserve">інің көрсеткіші </w:t>
      </w:r>
      <w:r w:rsidR="008A251E">
        <w:rPr>
          <w:rFonts w:ascii="Times New Roman" w:hAnsi="Times New Roman" w:cs="Times New Roman"/>
          <w:sz w:val="28"/>
          <w:szCs w:val="28"/>
          <w:lang w:val="kk-KZ"/>
        </w:rPr>
        <w:t>3,</w:t>
      </w:r>
      <w:r w:rsidR="00C84E9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60206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құрайды, бұл ағымдық міндеттемелер алдында еркін ресурстар көлемінің жеткілікті болуы себепті Қоғамның ағымағы қаржылық жай-күйін оң сипаттайды</w:t>
      </w:r>
      <w:r w:rsidRPr="00666166">
        <w:rPr>
          <w:rFonts w:ascii="Times New Roman" w:hAnsi="Times New Roman" w:cs="Times New Roman"/>
          <w:sz w:val="28"/>
          <w:szCs w:val="28"/>
        </w:rPr>
        <w:t>.</w:t>
      </w:r>
    </w:p>
    <w:p w:rsidR="006B4212" w:rsidRDefault="006B4212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60206" w:rsidRDefault="00F60206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60206" w:rsidRDefault="00F60206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60206" w:rsidRDefault="00F60206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60206" w:rsidRDefault="00F60206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60206" w:rsidRPr="00F60206" w:rsidRDefault="00F60206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3B10" w:rsidRPr="00F60206" w:rsidRDefault="008E3B10" w:rsidP="00F602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039AD" w:rsidRPr="005C7374" w:rsidRDefault="003E6D6E" w:rsidP="00CA072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Кірістер мен шығыстар туралы толық болжам</w:t>
      </w:r>
    </w:p>
    <w:p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4B9" w:rsidRPr="005C7374" w:rsidRDefault="003E6D6E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кірістер мен шығыстар,</w:t>
      </w:r>
      <w:r w:rsidRPr="00C40C74">
        <w:rPr>
          <w:rFonts w:ascii="Times New Roman" w:hAnsi="Times New Roman" w:cs="Times New Roman"/>
          <w:b/>
          <w:sz w:val="28"/>
          <w:szCs w:val="28"/>
        </w:rPr>
        <w:t xml:space="preserve"> мл</w:t>
      </w:r>
      <w:r>
        <w:rPr>
          <w:rFonts w:ascii="Times New Roman" w:hAnsi="Times New Roman" w:cs="Times New Roman"/>
          <w:b/>
          <w:sz w:val="28"/>
          <w:szCs w:val="28"/>
        </w:rPr>
        <w:t>рд</w:t>
      </w:r>
      <w:r w:rsidRPr="00C40C74">
        <w:rPr>
          <w:rFonts w:ascii="Times New Roman" w:hAnsi="Times New Roman" w:cs="Times New Roman"/>
          <w:b/>
          <w:sz w:val="28"/>
          <w:szCs w:val="28"/>
        </w:rPr>
        <w:t>. 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proofErr w:type="spellStart"/>
      <w:r w:rsidRPr="00C40C74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</w:p>
    <w:p w:rsidR="008A251E" w:rsidRPr="005C7374" w:rsidRDefault="008A251E" w:rsidP="008A251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251E" w:rsidRPr="005C7374" w:rsidRDefault="00D00746" w:rsidP="008A251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  <w:r>
        <w:rPr>
          <w:noProof/>
        </w:rPr>
        <w:drawing>
          <wp:inline distT="0" distB="0" distL="0" distR="0" wp14:anchorId="5BAB72DD" wp14:editId="11B68BB4">
            <wp:extent cx="6152515" cy="2297430"/>
            <wp:effectExtent l="0" t="0" r="1968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51E" w:rsidRPr="008A251E" w:rsidRDefault="008A251E" w:rsidP="008A251E">
      <w:pPr>
        <w:pStyle w:val="a5"/>
        <w:tabs>
          <w:tab w:val="left" w:pos="4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  <w:r w:rsidRPr="008A251E"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  <w:tab/>
      </w:r>
    </w:p>
    <w:p w:rsidR="00A15C79" w:rsidRPr="008A251E" w:rsidRDefault="008A251E" w:rsidP="008A25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657A4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657A4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ы бойынша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 xml:space="preserve">353 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млрд. теңге мөлшеріндегі жалпы кіріс негізінен Қазақстан Республикасының Ұлттық Банкіне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тазартылған алтынды өткізуден және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5,7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металлургиялық кремнийді</w:t>
      </w:r>
      <w:r w:rsidR="00BE6B34" w:rsidRPr="008A251E">
        <w:rPr>
          <w:rFonts w:ascii="Times New Roman" w:hAnsi="Times New Roman" w:cs="Times New Roman"/>
          <w:sz w:val="28"/>
          <w:szCs w:val="28"/>
          <w:lang w:val="kk-KZ"/>
        </w:rPr>
        <w:t>, 1,7 млрд.теңге мөлшерінде тазартылған күмісті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өткізуден түскен кірістер, екінші деңгейлі банктерге уақытша бос ақша қаражатын орна</w:t>
      </w:r>
      <w:r>
        <w:rPr>
          <w:rFonts w:ascii="Times New Roman" w:hAnsi="Times New Roman" w:cs="Times New Roman"/>
          <w:sz w:val="28"/>
          <w:szCs w:val="28"/>
          <w:lang w:val="kk-KZ"/>
        </w:rPr>
        <w:t>ластыру нәтижесінде алынған 0,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мөлшеріндегі қаржылық кірістер есебінен, сондай-ақ,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2,0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өзге де кірістер алу есебінен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еншілес және тәуелді ұйымдардан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43,1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млрд.теңге мөлшерінде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 кірістер алу есебінен</w:t>
      </w:r>
      <w:r w:rsidR="003E6D6E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қалыптасқан.</w:t>
      </w:r>
    </w:p>
    <w:p w:rsidR="00C038F0" w:rsidRPr="00115045" w:rsidRDefault="003E6D6E" w:rsidP="008A251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Компанияның шоғырландырылған шығыстары 2019 жылдың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F58F9"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D00746">
        <w:rPr>
          <w:rFonts w:ascii="Times New Roman" w:hAnsi="Times New Roman" w:cs="Times New Roman"/>
          <w:sz w:val="28"/>
          <w:szCs w:val="28"/>
          <w:lang w:val="kk-KZ"/>
        </w:rPr>
        <w:t>319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5045">
        <w:rPr>
          <w:rFonts w:ascii="Times New Roman" w:hAnsi="Times New Roman" w:cs="Times New Roman"/>
          <w:sz w:val="28"/>
          <w:szCs w:val="28"/>
          <w:lang w:val="kk-KZ"/>
        </w:rPr>
        <w:t>млрд. те</w:t>
      </w:r>
      <w:r w:rsidRPr="008A251E">
        <w:rPr>
          <w:rFonts w:ascii="Times New Roman" w:hAnsi="Times New Roman" w:cs="Times New Roman"/>
          <w:sz w:val="28"/>
          <w:szCs w:val="28"/>
          <w:lang w:val="kk-KZ"/>
        </w:rPr>
        <w:t>ңгені құрады және ол негізінен алтын құрамдас шикізат сатып алу, алтынды тазарту кезінде жұмсалатын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шығындарды, металлургиялық кремний өндіру бойынша шығындарды, жалпы және әкімшілік шығыстарды, тасымалдау және өткізу бойынша шығыстарды және өзге де операциялық емес шығыстарды қамтиды.  </w:t>
      </w:r>
    </w:p>
    <w:p w:rsidR="007A7E98" w:rsidRPr="00115045" w:rsidRDefault="003E6D6E" w:rsidP="004F38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15045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8C3823">
        <w:rPr>
          <w:rFonts w:ascii="Times New Roman" w:hAnsi="Times New Roman" w:cs="Times New Roman"/>
          <w:sz w:val="28"/>
          <w:szCs w:val="28"/>
          <w:lang w:val="kk-KZ"/>
        </w:rPr>
        <w:t xml:space="preserve"> жылы Қоғам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Ұлттық Банкіне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400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3823">
        <w:rPr>
          <w:rFonts w:ascii="Times New Roman" w:hAnsi="Times New Roman" w:cs="Times New Roman"/>
          <w:sz w:val="28"/>
          <w:szCs w:val="28"/>
          <w:lang w:val="kk-KZ"/>
        </w:rPr>
        <w:t>млрд. теңге мөлшерінде тазартылған алтынды өткізу</w:t>
      </w:r>
      <w:r w:rsidR="005F58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 теңге мөлшерінде ме</w:t>
      </w:r>
      <w:r w:rsidR="005F58F9">
        <w:rPr>
          <w:rFonts w:ascii="Times New Roman" w:hAnsi="Times New Roman" w:cs="Times New Roman"/>
          <w:sz w:val="28"/>
          <w:szCs w:val="28"/>
          <w:lang w:val="kk-KZ"/>
        </w:rPr>
        <w:t>таллургиялық кремний өткізу, 2,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тазартылған күміс 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өткізу 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2,4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өзге де кірістер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есебінен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471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жалпы кіріс алуды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еншілес және тәуелді ұйымдардан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54,9</w:t>
      </w:r>
      <w:r w:rsidR="00115045">
        <w:rPr>
          <w:rFonts w:ascii="Times New Roman" w:hAnsi="Times New Roman" w:cs="Times New Roman"/>
          <w:sz w:val="28"/>
          <w:szCs w:val="28"/>
          <w:lang w:val="kk-KZ"/>
        </w:rPr>
        <w:t xml:space="preserve"> млрд.теңге кіріс алуды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болжамдап отыр.</w:t>
      </w:r>
    </w:p>
    <w:p w:rsidR="003E6D6E" w:rsidRPr="00CB010C" w:rsidRDefault="003E6D6E" w:rsidP="003E6D6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823">
        <w:rPr>
          <w:rFonts w:ascii="Times New Roman" w:hAnsi="Times New Roman" w:cs="Times New Roman"/>
          <w:sz w:val="28"/>
          <w:szCs w:val="28"/>
          <w:lang w:val="kk-KZ"/>
        </w:rPr>
        <w:t xml:space="preserve">2019 жылға арналған жалпы шығыс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427</w:t>
      </w:r>
      <w:r w:rsidRPr="008C3823"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жоспарланып отыр және ол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409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алтын құрамдас шикізат сатып алуға арналған шығыстарды және тазартылған алтын мен металлургиялық кремний өндірі</w:t>
      </w:r>
      <w:r w:rsidR="00D35B9F">
        <w:rPr>
          <w:rFonts w:ascii="Times New Roman" w:hAnsi="Times New Roman" w:cs="Times New Roman"/>
          <w:sz w:val="28"/>
          <w:szCs w:val="28"/>
          <w:lang w:val="kk-KZ"/>
        </w:rPr>
        <w:t xml:space="preserve">сінде ескерілген шығындарды, </w:t>
      </w:r>
      <w:r w:rsidR="00465334">
        <w:rPr>
          <w:rFonts w:ascii="Times New Roman" w:hAnsi="Times New Roman" w:cs="Times New Roman"/>
          <w:sz w:val="28"/>
          <w:szCs w:val="28"/>
          <w:lang w:val="kk-KZ"/>
        </w:rPr>
        <w:t>4,1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Қоғамның корпоративтік орталығы мен еншілес ұйымдарының жалп</w:t>
      </w:r>
      <w:r w:rsidR="00E12195">
        <w:rPr>
          <w:rFonts w:ascii="Times New Roman" w:hAnsi="Times New Roman" w:cs="Times New Roman"/>
          <w:sz w:val="28"/>
          <w:szCs w:val="28"/>
          <w:lang w:val="kk-KZ"/>
        </w:rPr>
        <w:t xml:space="preserve">ы және </w:t>
      </w:r>
      <w:r w:rsidR="00E12195">
        <w:rPr>
          <w:rFonts w:ascii="Times New Roman" w:hAnsi="Times New Roman" w:cs="Times New Roman"/>
          <w:sz w:val="28"/>
          <w:szCs w:val="28"/>
          <w:lang w:val="kk-KZ"/>
        </w:rPr>
        <w:lastRenderedPageBreak/>
        <w:t>әкімшілік шығыстарын, 0,2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ө</w:t>
      </w:r>
      <w:r w:rsidR="00E12195">
        <w:rPr>
          <w:rFonts w:ascii="Times New Roman" w:hAnsi="Times New Roman" w:cs="Times New Roman"/>
          <w:sz w:val="28"/>
          <w:szCs w:val="28"/>
          <w:lang w:val="kk-KZ"/>
        </w:rPr>
        <w:t>ткізуге арналған шығыстарды, 0,3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теңге мөлшерінде өзге шығыстары қамтиды.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E6D6E" w:rsidRPr="00CB010C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46" w:rsidRDefault="00D00746" w:rsidP="00BA39CD">
      <w:pPr>
        <w:spacing w:after="0" w:line="240" w:lineRule="auto"/>
      </w:pPr>
      <w:r>
        <w:separator/>
      </w:r>
    </w:p>
  </w:endnote>
  <w:endnote w:type="continuationSeparator" w:id="0">
    <w:p w:rsidR="00D00746" w:rsidRDefault="00D00746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Content>
      <w:p w:rsidR="00D00746" w:rsidRDefault="00D007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0746" w:rsidRDefault="00D007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Content>
      <w:p w:rsidR="00D00746" w:rsidRDefault="00D007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0746" w:rsidRDefault="00D007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Content>
      <w:p w:rsidR="00D00746" w:rsidRDefault="00D007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746" w:rsidRDefault="00D007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46" w:rsidRDefault="00D00746" w:rsidP="00BA39CD">
      <w:pPr>
        <w:spacing w:after="0" w:line="240" w:lineRule="auto"/>
      </w:pPr>
      <w:r>
        <w:separator/>
      </w:r>
    </w:p>
  </w:footnote>
  <w:footnote w:type="continuationSeparator" w:id="0">
    <w:p w:rsidR="00D00746" w:rsidRDefault="00D00746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"/>
  </w:num>
  <w:num w:numId="5">
    <w:abstractNumId w:val="20"/>
  </w:num>
  <w:num w:numId="6">
    <w:abstractNumId w:val="15"/>
  </w:num>
  <w:num w:numId="7">
    <w:abstractNumId w:val="14"/>
  </w:num>
  <w:num w:numId="8">
    <w:abstractNumId w:val="27"/>
  </w:num>
  <w:num w:numId="9">
    <w:abstractNumId w:val="7"/>
  </w:num>
  <w:num w:numId="10">
    <w:abstractNumId w:val="16"/>
  </w:num>
  <w:num w:numId="11">
    <w:abstractNumId w:val="8"/>
  </w:num>
  <w:num w:numId="12">
    <w:abstractNumId w:val="30"/>
  </w:num>
  <w:num w:numId="13">
    <w:abstractNumId w:val="21"/>
  </w:num>
  <w:num w:numId="14">
    <w:abstractNumId w:val="12"/>
  </w:num>
  <w:num w:numId="15">
    <w:abstractNumId w:val="0"/>
  </w:num>
  <w:num w:numId="16">
    <w:abstractNumId w:val="2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17"/>
  </w:num>
  <w:num w:numId="24">
    <w:abstractNumId w:val="4"/>
  </w:num>
  <w:num w:numId="25">
    <w:abstractNumId w:val="22"/>
  </w:num>
  <w:num w:numId="26">
    <w:abstractNumId w:val="5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22FEB"/>
    <w:rsid w:val="0002704B"/>
    <w:rsid w:val="00027422"/>
    <w:rsid w:val="000367E5"/>
    <w:rsid w:val="000416D1"/>
    <w:rsid w:val="00042AA5"/>
    <w:rsid w:val="00047E4F"/>
    <w:rsid w:val="000604A0"/>
    <w:rsid w:val="00070B0C"/>
    <w:rsid w:val="000719B4"/>
    <w:rsid w:val="00071D9F"/>
    <w:rsid w:val="000727CB"/>
    <w:rsid w:val="00080769"/>
    <w:rsid w:val="00087528"/>
    <w:rsid w:val="000876C0"/>
    <w:rsid w:val="000903C7"/>
    <w:rsid w:val="00091547"/>
    <w:rsid w:val="000A5C37"/>
    <w:rsid w:val="000C02CB"/>
    <w:rsid w:val="000C6C28"/>
    <w:rsid w:val="000C6CCE"/>
    <w:rsid w:val="000D5817"/>
    <w:rsid w:val="000E254A"/>
    <w:rsid w:val="000E2CC7"/>
    <w:rsid w:val="000E69B9"/>
    <w:rsid w:val="000E6B06"/>
    <w:rsid w:val="000F240B"/>
    <w:rsid w:val="00104C21"/>
    <w:rsid w:val="00105D31"/>
    <w:rsid w:val="00105DF4"/>
    <w:rsid w:val="00111905"/>
    <w:rsid w:val="0011225F"/>
    <w:rsid w:val="00115045"/>
    <w:rsid w:val="00115A72"/>
    <w:rsid w:val="00117C46"/>
    <w:rsid w:val="001202B8"/>
    <w:rsid w:val="00120A08"/>
    <w:rsid w:val="00121E0D"/>
    <w:rsid w:val="00134903"/>
    <w:rsid w:val="0013789B"/>
    <w:rsid w:val="001469EB"/>
    <w:rsid w:val="001552F3"/>
    <w:rsid w:val="00162942"/>
    <w:rsid w:val="00165461"/>
    <w:rsid w:val="00166BCA"/>
    <w:rsid w:val="00172F0C"/>
    <w:rsid w:val="001750E8"/>
    <w:rsid w:val="0018120A"/>
    <w:rsid w:val="001813F0"/>
    <w:rsid w:val="00181D18"/>
    <w:rsid w:val="00184404"/>
    <w:rsid w:val="001850CC"/>
    <w:rsid w:val="001854BF"/>
    <w:rsid w:val="00185999"/>
    <w:rsid w:val="00186E12"/>
    <w:rsid w:val="001932EB"/>
    <w:rsid w:val="00193903"/>
    <w:rsid w:val="00193A80"/>
    <w:rsid w:val="001958EE"/>
    <w:rsid w:val="00196864"/>
    <w:rsid w:val="001A289D"/>
    <w:rsid w:val="001A32AF"/>
    <w:rsid w:val="001A3625"/>
    <w:rsid w:val="001B0CED"/>
    <w:rsid w:val="001C329D"/>
    <w:rsid w:val="001C6946"/>
    <w:rsid w:val="001C7467"/>
    <w:rsid w:val="001D0298"/>
    <w:rsid w:val="001D1F0B"/>
    <w:rsid w:val="001D2B6D"/>
    <w:rsid w:val="001D664F"/>
    <w:rsid w:val="001E2320"/>
    <w:rsid w:val="001E3748"/>
    <w:rsid w:val="001E6D5E"/>
    <w:rsid w:val="001F3526"/>
    <w:rsid w:val="001F4D5C"/>
    <w:rsid w:val="00201746"/>
    <w:rsid w:val="00207AAC"/>
    <w:rsid w:val="00211650"/>
    <w:rsid w:val="00220A12"/>
    <w:rsid w:val="00221435"/>
    <w:rsid w:val="00223F86"/>
    <w:rsid w:val="002341BF"/>
    <w:rsid w:val="0023596B"/>
    <w:rsid w:val="00242057"/>
    <w:rsid w:val="00242624"/>
    <w:rsid w:val="00244230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A5A80"/>
    <w:rsid w:val="002B105F"/>
    <w:rsid w:val="002B58F9"/>
    <w:rsid w:val="002C0C69"/>
    <w:rsid w:val="002C4429"/>
    <w:rsid w:val="002D1DFA"/>
    <w:rsid w:val="002D3C7D"/>
    <w:rsid w:val="002D5627"/>
    <w:rsid w:val="002E1C28"/>
    <w:rsid w:val="002E3E7D"/>
    <w:rsid w:val="002E459B"/>
    <w:rsid w:val="002E4EF6"/>
    <w:rsid w:val="002E684E"/>
    <w:rsid w:val="002F3791"/>
    <w:rsid w:val="002F649E"/>
    <w:rsid w:val="00302B59"/>
    <w:rsid w:val="00305C46"/>
    <w:rsid w:val="00314AB2"/>
    <w:rsid w:val="0032005B"/>
    <w:rsid w:val="003214E9"/>
    <w:rsid w:val="0032775C"/>
    <w:rsid w:val="003368D1"/>
    <w:rsid w:val="00345B46"/>
    <w:rsid w:val="00352BFB"/>
    <w:rsid w:val="003616CE"/>
    <w:rsid w:val="003642BA"/>
    <w:rsid w:val="00364575"/>
    <w:rsid w:val="003649CA"/>
    <w:rsid w:val="0037240C"/>
    <w:rsid w:val="00373F65"/>
    <w:rsid w:val="00375C96"/>
    <w:rsid w:val="00376E74"/>
    <w:rsid w:val="00377554"/>
    <w:rsid w:val="003905F0"/>
    <w:rsid w:val="00393D1F"/>
    <w:rsid w:val="003A200D"/>
    <w:rsid w:val="003A277B"/>
    <w:rsid w:val="003A4D75"/>
    <w:rsid w:val="003A4E0E"/>
    <w:rsid w:val="003A68F4"/>
    <w:rsid w:val="003C2A77"/>
    <w:rsid w:val="003C7D77"/>
    <w:rsid w:val="003D0DD2"/>
    <w:rsid w:val="003D308C"/>
    <w:rsid w:val="003D5F68"/>
    <w:rsid w:val="003D6F23"/>
    <w:rsid w:val="003E4521"/>
    <w:rsid w:val="003E6D6E"/>
    <w:rsid w:val="003F4147"/>
    <w:rsid w:val="003F67FB"/>
    <w:rsid w:val="00403D18"/>
    <w:rsid w:val="004048D4"/>
    <w:rsid w:val="00406473"/>
    <w:rsid w:val="004108A8"/>
    <w:rsid w:val="00410EF2"/>
    <w:rsid w:val="004130E5"/>
    <w:rsid w:val="004131A9"/>
    <w:rsid w:val="0042698A"/>
    <w:rsid w:val="00430BE2"/>
    <w:rsid w:val="004342B7"/>
    <w:rsid w:val="00435BA9"/>
    <w:rsid w:val="00443BFC"/>
    <w:rsid w:val="0044558B"/>
    <w:rsid w:val="004471A3"/>
    <w:rsid w:val="004511ED"/>
    <w:rsid w:val="00452067"/>
    <w:rsid w:val="0045728C"/>
    <w:rsid w:val="00461EDA"/>
    <w:rsid w:val="004652CF"/>
    <w:rsid w:val="00465334"/>
    <w:rsid w:val="00465D17"/>
    <w:rsid w:val="00466EB0"/>
    <w:rsid w:val="00483DB2"/>
    <w:rsid w:val="00484704"/>
    <w:rsid w:val="004855EA"/>
    <w:rsid w:val="00492437"/>
    <w:rsid w:val="00495819"/>
    <w:rsid w:val="004A0406"/>
    <w:rsid w:val="004A21C6"/>
    <w:rsid w:val="004A4F18"/>
    <w:rsid w:val="004C4050"/>
    <w:rsid w:val="004C50FD"/>
    <w:rsid w:val="004E1D00"/>
    <w:rsid w:val="004E5CCB"/>
    <w:rsid w:val="004E60AB"/>
    <w:rsid w:val="004E755C"/>
    <w:rsid w:val="004F38BB"/>
    <w:rsid w:val="0050626A"/>
    <w:rsid w:val="00507EC7"/>
    <w:rsid w:val="005100EC"/>
    <w:rsid w:val="0051358F"/>
    <w:rsid w:val="00520137"/>
    <w:rsid w:val="005224DF"/>
    <w:rsid w:val="00531CB0"/>
    <w:rsid w:val="00535CFF"/>
    <w:rsid w:val="00535DDC"/>
    <w:rsid w:val="005470CB"/>
    <w:rsid w:val="00552D52"/>
    <w:rsid w:val="0055302D"/>
    <w:rsid w:val="00562996"/>
    <w:rsid w:val="005706B2"/>
    <w:rsid w:val="005773FE"/>
    <w:rsid w:val="00581DE9"/>
    <w:rsid w:val="0058545B"/>
    <w:rsid w:val="005870AB"/>
    <w:rsid w:val="005918AE"/>
    <w:rsid w:val="005A1DF6"/>
    <w:rsid w:val="005B6FBE"/>
    <w:rsid w:val="005C2175"/>
    <w:rsid w:val="005C3A51"/>
    <w:rsid w:val="005C537B"/>
    <w:rsid w:val="005C7374"/>
    <w:rsid w:val="005D1653"/>
    <w:rsid w:val="005D4DA0"/>
    <w:rsid w:val="005F00B4"/>
    <w:rsid w:val="005F1C4D"/>
    <w:rsid w:val="005F58F9"/>
    <w:rsid w:val="005F613B"/>
    <w:rsid w:val="005F657A"/>
    <w:rsid w:val="00603060"/>
    <w:rsid w:val="00604114"/>
    <w:rsid w:val="00607EA4"/>
    <w:rsid w:val="00621A4E"/>
    <w:rsid w:val="00621B1C"/>
    <w:rsid w:val="00623B34"/>
    <w:rsid w:val="006379A0"/>
    <w:rsid w:val="006379DF"/>
    <w:rsid w:val="00641293"/>
    <w:rsid w:val="00646CAA"/>
    <w:rsid w:val="00650ECD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A2899"/>
    <w:rsid w:val="006A5530"/>
    <w:rsid w:val="006A6383"/>
    <w:rsid w:val="006B4212"/>
    <w:rsid w:val="006B6D5B"/>
    <w:rsid w:val="006C109C"/>
    <w:rsid w:val="006C429F"/>
    <w:rsid w:val="006D3848"/>
    <w:rsid w:val="006D5D99"/>
    <w:rsid w:val="006E0A48"/>
    <w:rsid w:val="006E166F"/>
    <w:rsid w:val="006E5119"/>
    <w:rsid w:val="006F1322"/>
    <w:rsid w:val="006F46B5"/>
    <w:rsid w:val="006F69B9"/>
    <w:rsid w:val="00712A27"/>
    <w:rsid w:val="0071358B"/>
    <w:rsid w:val="00716F81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723B"/>
    <w:rsid w:val="00737CF7"/>
    <w:rsid w:val="00741051"/>
    <w:rsid w:val="0074532B"/>
    <w:rsid w:val="00746A9E"/>
    <w:rsid w:val="00762E81"/>
    <w:rsid w:val="00763CE9"/>
    <w:rsid w:val="00764748"/>
    <w:rsid w:val="00767912"/>
    <w:rsid w:val="00771444"/>
    <w:rsid w:val="00771AAC"/>
    <w:rsid w:val="0078419A"/>
    <w:rsid w:val="00790A85"/>
    <w:rsid w:val="0079229E"/>
    <w:rsid w:val="00792689"/>
    <w:rsid w:val="0079301C"/>
    <w:rsid w:val="00793B63"/>
    <w:rsid w:val="00793DA2"/>
    <w:rsid w:val="007A36AB"/>
    <w:rsid w:val="007A62AC"/>
    <w:rsid w:val="007A7E98"/>
    <w:rsid w:val="007C3B35"/>
    <w:rsid w:val="007D1778"/>
    <w:rsid w:val="007D25FE"/>
    <w:rsid w:val="007D3050"/>
    <w:rsid w:val="007E0D2C"/>
    <w:rsid w:val="007E25C3"/>
    <w:rsid w:val="007E2F26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429C3"/>
    <w:rsid w:val="00850056"/>
    <w:rsid w:val="00851517"/>
    <w:rsid w:val="00857EE8"/>
    <w:rsid w:val="008609AC"/>
    <w:rsid w:val="00870240"/>
    <w:rsid w:val="00874631"/>
    <w:rsid w:val="00892725"/>
    <w:rsid w:val="00894C9F"/>
    <w:rsid w:val="00896823"/>
    <w:rsid w:val="00897F29"/>
    <w:rsid w:val="008A0877"/>
    <w:rsid w:val="008A1F98"/>
    <w:rsid w:val="008A251E"/>
    <w:rsid w:val="008B00B3"/>
    <w:rsid w:val="008B4727"/>
    <w:rsid w:val="008B5F64"/>
    <w:rsid w:val="008C165C"/>
    <w:rsid w:val="008C16F5"/>
    <w:rsid w:val="008C3B3B"/>
    <w:rsid w:val="008C63A9"/>
    <w:rsid w:val="008C6E9E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30B1"/>
    <w:rsid w:val="00930B4B"/>
    <w:rsid w:val="00932FEB"/>
    <w:rsid w:val="00933C59"/>
    <w:rsid w:val="009511C3"/>
    <w:rsid w:val="00951BD4"/>
    <w:rsid w:val="0095237F"/>
    <w:rsid w:val="00954DBE"/>
    <w:rsid w:val="009563AA"/>
    <w:rsid w:val="00957AD5"/>
    <w:rsid w:val="00964159"/>
    <w:rsid w:val="00964A9F"/>
    <w:rsid w:val="009702E2"/>
    <w:rsid w:val="00972364"/>
    <w:rsid w:val="00975475"/>
    <w:rsid w:val="009779ED"/>
    <w:rsid w:val="009808AE"/>
    <w:rsid w:val="00981176"/>
    <w:rsid w:val="00983A17"/>
    <w:rsid w:val="00984BAA"/>
    <w:rsid w:val="00993739"/>
    <w:rsid w:val="00997720"/>
    <w:rsid w:val="009A2B05"/>
    <w:rsid w:val="009A3F64"/>
    <w:rsid w:val="009C79EE"/>
    <w:rsid w:val="009D2759"/>
    <w:rsid w:val="009D2B88"/>
    <w:rsid w:val="009E3343"/>
    <w:rsid w:val="009E4D9E"/>
    <w:rsid w:val="009E4FA7"/>
    <w:rsid w:val="009E73DE"/>
    <w:rsid w:val="009F7026"/>
    <w:rsid w:val="00A06CE0"/>
    <w:rsid w:val="00A13DCE"/>
    <w:rsid w:val="00A15811"/>
    <w:rsid w:val="00A15C79"/>
    <w:rsid w:val="00A15C8C"/>
    <w:rsid w:val="00A16815"/>
    <w:rsid w:val="00A302D3"/>
    <w:rsid w:val="00A30746"/>
    <w:rsid w:val="00A307F0"/>
    <w:rsid w:val="00A40352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6935"/>
    <w:rsid w:val="00AB2253"/>
    <w:rsid w:val="00AC16C6"/>
    <w:rsid w:val="00AC3E58"/>
    <w:rsid w:val="00AC711E"/>
    <w:rsid w:val="00AD46E4"/>
    <w:rsid w:val="00AD5A19"/>
    <w:rsid w:val="00AD5E26"/>
    <w:rsid w:val="00AE5222"/>
    <w:rsid w:val="00AF1FD9"/>
    <w:rsid w:val="00B01B2C"/>
    <w:rsid w:val="00B03633"/>
    <w:rsid w:val="00B03FA4"/>
    <w:rsid w:val="00B069B9"/>
    <w:rsid w:val="00B114B9"/>
    <w:rsid w:val="00B1292D"/>
    <w:rsid w:val="00B12DCE"/>
    <w:rsid w:val="00B2008D"/>
    <w:rsid w:val="00B20C6B"/>
    <w:rsid w:val="00B2428F"/>
    <w:rsid w:val="00B25CBA"/>
    <w:rsid w:val="00B356D8"/>
    <w:rsid w:val="00B372A2"/>
    <w:rsid w:val="00B435F9"/>
    <w:rsid w:val="00B43B34"/>
    <w:rsid w:val="00B45E9D"/>
    <w:rsid w:val="00B522F0"/>
    <w:rsid w:val="00B540E0"/>
    <w:rsid w:val="00B554CB"/>
    <w:rsid w:val="00B55E88"/>
    <w:rsid w:val="00B569CF"/>
    <w:rsid w:val="00B57EB2"/>
    <w:rsid w:val="00B61EF5"/>
    <w:rsid w:val="00B648D7"/>
    <w:rsid w:val="00B657A4"/>
    <w:rsid w:val="00B674FE"/>
    <w:rsid w:val="00B702FE"/>
    <w:rsid w:val="00B7087E"/>
    <w:rsid w:val="00B767A6"/>
    <w:rsid w:val="00B776A1"/>
    <w:rsid w:val="00B77963"/>
    <w:rsid w:val="00B779DE"/>
    <w:rsid w:val="00B818B5"/>
    <w:rsid w:val="00B83CA0"/>
    <w:rsid w:val="00B91B77"/>
    <w:rsid w:val="00B921CC"/>
    <w:rsid w:val="00B929F8"/>
    <w:rsid w:val="00B932FA"/>
    <w:rsid w:val="00B94AAB"/>
    <w:rsid w:val="00B9610F"/>
    <w:rsid w:val="00B9708F"/>
    <w:rsid w:val="00BA32B6"/>
    <w:rsid w:val="00BA3727"/>
    <w:rsid w:val="00BA39CD"/>
    <w:rsid w:val="00BA6DE1"/>
    <w:rsid w:val="00BB1FCC"/>
    <w:rsid w:val="00BB2128"/>
    <w:rsid w:val="00BB5D23"/>
    <w:rsid w:val="00BB7676"/>
    <w:rsid w:val="00BC073A"/>
    <w:rsid w:val="00BC13F0"/>
    <w:rsid w:val="00BC3052"/>
    <w:rsid w:val="00BC5380"/>
    <w:rsid w:val="00BC6041"/>
    <w:rsid w:val="00BD0833"/>
    <w:rsid w:val="00BD34E1"/>
    <w:rsid w:val="00BD4311"/>
    <w:rsid w:val="00BD7249"/>
    <w:rsid w:val="00BD7719"/>
    <w:rsid w:val="00BE26F8"/>
    <w:rsid w:val="00BE319C"/>
    <w:rsid w:val="00BE6B34"/>
    <w:rsid w:val="00BF6D1F"/>
    <w:rsid w:val="00C038F0"/>
    <w:rsid w:val="00C07E97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B9"/>
    <w:rsid w:val="00C268F2"/>
    <w:rsid w:val="00C33F21"/>
    <w:rsid w:val="00C37AB9"/>
    <w:rsid w:val="00C40C74"/>
    <w:rsid w:val="00C54D2F"/>
    <w:rsid w:val="00C55235"/>
    <w:rsid w:val="00C65F1F"/>
    <w:rsid w:val="00C676AD"/>
    <w:rsid w:val="00C7058A"/>
    <w:rsid w:val="00C71510"/>
    <w:rsid w:val="00C718E0"/>
    <w:rsid w:val="00C73691"/>
    <w:rsid w:val="00C73E2F"/>
    <w:rsid w:val="00C75538"/>
    <w:rsid w:val="00C77EB8"/>
    <w:rsid w:val="00C841F4"/>
    <w:rsid w:val="00C84E92"/>
    <w:rsid w:val="00C86476"/>
    <w:rsid w:val="00CA01FE"/>
    <w:rsid w:val="00CA0723"/>
    <w:rsid w:val="00CA18F4"/>
    <w:rsid w:val="00CA29AE"/>
    <w:rsid w:val="00CA35AE"/>
    <w:rsid w:val="00CA3CD1"/>
    <w:rsid w:val="00CA5B23"/>
    <w:rsid w:val="00CA6057"/>
    <w:rsid w:val="00CB010C"/>
    <w:rsid w:val="00CB20E7"/>
    <w:rsid w:val="00CB29CE"/>
    <w:rsid w:val="00CC0DD5"/>
    <w:rsid w:val="00CD3BAA"/>
    <w:rsid w:val="00CD3E47"/>
    <w:rsid w:val="00CD6F4D"/>
    <w:rsid w:val="00CD6FED"/>
    <w:rsid w:val="00CE01B6"/>
    <w:rsid w:val="00CE251F"/>
    <w:rsid w:val="00CE3713"/>
    <w:rsid w:val="00CE5B3B"/>
    <w:rsid w:val="00CF0B07"/>
    <w:rsid w:val="00CF4586"/>
    <w:rsid w:val="00D002CB"/>
    <w:rsid w:val="00D00746"/>
    <w:rsid w:val="00D02DC9"/>
    <w:rsid w:val="00D033A2"/>
    <w:rsid w:val="00D0758B"/>
    <w:rsid w:val="00D11045"/>
    <w:rsid w:val="00D11076"/>
    <w:rsid w:val="00D210FB"/>
    <w:rsid w:val="00D23187"/>
    <w:rsid w:val="00D25464"/>
    <w:rsid w:val="00D264EA"/>
    <w:rsid w:val="00D30D45"/>
    <w:rsid w:val="00D3443C"/>
    <w:rsid w:val="00D34499"/>
    <w:rsid w:val="00D35B9F"/>
    <w:rsid w:val="00D369DD"/>
    <w:rsid w:val="00D46BF2"/>
    <w:rsid w:val="00D50427"/>
    <w:rsid w:val="00D50601"/>
    <w:rsid w:val="00D52143"/>
    <w:rsid w:val="00D54078"/>
    <w:rsid w:val="00D57B2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7739C"/>
    <w:rsid w:val="00D83D4B"/>
    <w:rsid w:val="00D9501E"/>
    <w:rsid w:val="00DB1198"/>
    <w:rsid w:val="00DB4B29"/>
    <w:rsid w:val="00DC272D"/>
    <w:rsid w:val="00DC4CAC"/>
    <w:rsid w:val="00DD02B5"/>
    <w:rsid w:val="00DD6103"/>
    <w:rsid w:val="00DE37F8"/>
    <w:rsid w:val="00DE7747"/>
    <w:rsid w:val="00DF01BB"/>
    <w:rsid w:val="00E023BF"/>
    <w:rsid w:val="00E12195"/>
    <w:rsid w:val="00E162BC"/>
    <w:rsid w:val="00E215F4"/>
    <w:rsid w:val="00E24C5A"/>
    <w:rsid w:val="00E25FB5"/>
    <w:rsid w:val="00E26DF3"/>
    <w:rsid w:val="00E3077B"/>
    <w:rsid w:val="00E31979"/>
    <w:rsid w:val="00E40CF0"/>
    <w:rsid w:val="00E429A4"/>
    <w:rsid w:val="00E4378F"/>
    <w:rsid w:val="00E50018"/>
    <w:rsid w:val="00E527F0"/>
    <w:rsid w:val="00E620E0"/>
    <w:rsid w:val="00E65873"/>
    <w:rsid w:val="00E65897"/>
    <w:rsid w:val="00E66438"/>
    <w:rsid w:val="00E67A67"/>
    <w:rsid w:val="00E70D56"/>
    <w:rsid w:val="00E73360"/>
    <w:rsid w:val="00E76D3A"/>
    <w:rsid w:val="00E76F82"/>
    <w:rsid w:val="00E81D81"/>
    <w:rsid w:val="00E901E4"/>
    <w:rsid w:val="00E92771"/>
    <w:rsid w:val="00E94E7E"/>
    <w:rsid w:val="00E96507"/>
    <w:rsid w:val="00EA0377"/>
    <w:rsid w:val="00EA5225"/>
    <w:rsid w:val="00EA5AF5"/>
    <w:rsid w:val="00EA6582"/>
    <w:rsid w:val="00EA7C45"/>
    <w:rsid w:val="00EB0F58"/>
    <w:rsid w:val="00EC619F"/>
    <w:rsid w:val="00EC7884"/>
    <w:rsid w:val="00ED0187"/>
    <w:rsid w:val="00ED5BC3"/>
    <w:rsid w:val="00ED6B2F"/>
    <w:rsid w:val="00ED7155"/>
    <w:rsid w:val="00EE03AA"/>
    <w:rsid w:val="00EE05AD"/>
    <w:rsid w:val="00EE2658"/>
    <w:rsid w:val="00EE32BF"/>
    <w:rsid w:val="00EF753C"/>
    <w:rsid w:val="00F0473E"/>
    <w:rsid w:val="00F13F70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45B38"/>
    <w:rsid w:val="00F50082"/>
    <w:rsid w:val="00F50ED8"/>
    <w:rsid w:val="00F51BBA"/>
    <w:rsid w:val="00F54BFE"/>
    <w:rsid w:val="00F56BB3"/>
    <w:rsid w:val="00F60206"/>
    <w:rsid w:val="00F67675"/>
    <w:rsid w:val="00F72433"/>
    <w:rsid w:val="00F77AEB"/>
    <w:rsid w:val="00F85DFB"/>
    <w:rsid w:val="00F863F9"/>
    <w:rsid w:val="00F915CF"/>
    <w:rsid w:val="00F96647"/>
    <w:rsid w:val="00F97B05"/>
    <w:rsid w:val="00FB155B"/>
    <w:rsid w:val="00FB7988"/>
    <w:rsid w:val="00FC2784"/>
    <w:rsid w:val="00FC3F60"/>
    <w:rsid w:val="00FC4518"/>
    <w:rsid w:val="00FD7980"/>
    <w:rsid w:val="00FE0F2A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8"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Жеке капитал мөлшері, млрд. теңге</a:t>
            </a:r>
          </a:p>
        </c:rich>
      </c:tx>
      <c:layout>
        <c:manualLayout>
          <c:xMode val="edge"/>
          <c:yMode val="edge"/>
          <c:x val="0.267184395324513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9 месяцев 2019г.xlsx]Капит каз'!$B$2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9 месяцев 2019г.xlsx]Капит каз'!$F$1:$L$1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
</c:v>
                </c:pt>
                <c:pt idx="6">
                  <c:v>9 ай. 2019г.
</c:v>
                </c:pt>
              </c:strCache>
            </c:strRef>
          </c:cat>
          <c:val>
            <c:numRef>
              <c:f>'[таблицы для ФХД за 9 месяцев 2019г.xlsx]Капит каз'!$F$3:$L$3</c:f>
              <c:numCache>
                <c:formatCode>#,##0</c:formatCode>
                <c:ptCount val="7"/>
                <c:pt idx="0">
                  <c:v>214.176219</c:v>
                </c:pt>
                <c:pt idx="1">
                  <c:v>313.48241200000001</c:v>
                </c:pt>
                <c:pt idx="2">
                  <c:v>503.60678200000001</c:v>
                </c:pt>
                <c:pt idx="3">
                  <c:v>550.15662299999997</c:v>
                </c:pt>
                <c:pt idx="4">
                  <c:v>590.84847000000002</c:v>
                </c:pt>
                <c:pt idx="5">
                  <c:v>628.58299999999997</c:v>
                </c:pt>
                <c:pt idx="6">
                  <c:v>603.48304200000007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6276224"/>
        <c:axId val="227263232"/>
      </c:lineChart>
      <c:catAx>
        <c:axId val="1162762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27263232"/>
        <c:crosses val="autoZero"/>
        <c:auto val="1"/>
        <c:lblAlgn val="ctr"/>
        <c:lblOffset val="100"/>
        <c:noMultiLvlLbl val="0"/>
      </c:catAx>
      <c:valAx>
        <c:axId val="2272632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6276224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9 месяцев 2019г.xlsx]ДохРасх каз (2)'!$A$5</c:f>
              <c:strCache>
                <c:ptCount val="1"/>
                <c:pt idx="0">
                  <c:v>Жалпы кірістер , млрд. теңге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9 месяцев 2019г.xlsx]ДохРасх каз (2)'!$B$4:$E$4</c:f>
              <c:strCache>
                <c:ptCount val="4"/>
                <c:pt idx="0">
                  <c:v>Факт
2017 ж.</c:v>
                </c:pt>
                <c:pt idx="1">
                  <c:v>Факт
2018 ж.</c:v>
                </c:pt>
                <c:pt idx="2">
                  <c:v>9 ай. 2019 ж.</c:v>
                </c:pt>
                <c:pt idx="3">
                  <c:v>Болжам
2019 ж.</c:v>
                </c:pt>
              </c:strCache>
            </c:strRef>
          </c:cat>
          <c:val>
            <c:numRef>
              <c:f>'[таблицы для ФХД за 9 месяцев 2019г.xlsx]ДохРасх каз (2)'!$B$5:$E$5</c:f>
              <c:numCache>
                <c:formatCode>#,##0</c:formatCode>
                <c:ptCount val="4"/>
                <c:pt idx="0">
                  <c:v>210.33532600000001</c:v>
                </c:pt>
                <c:pt idx="1">
                  <c:v>273.15671900000001</c:v>
                </c:pt>
                <c:pt idx="2">
                  <c:v>353.42153404652004</c:v>
                </c:pt>
                <c:pt idx="3">
                  <c:v>470.50446771786068</c:v>
                </c:pt>
              </c:numCache>
            </c:numRef>
          </c:val>
        </c:ser>
        <c:ser>
          <c:idx val="1"/>
          <c:order val="1"/>
          <c:tx>
            <c:strRef>
              <c:f>'[таблицы для ФХД за 9 месяцев 2019г.xlsx]ДохРасх каз (2)'!$A$6</c:f>
              <c:strCache>
                <c:ptCount val="1"/>
                <c:pt idx="0">
                  <c:v>Жалпы шығыстар, млрд. теңге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'[таблицы для ФХД за 9 месяцев 2019г.xlsx]ДохРасх каз (2)'!$B$4:$E$4</c:f>
              <c:strCache>
                <c:ptCount val="4"/>
                <c:pt idx="0">
                  <c:v>Факт
2017 ж.</c:v>
                </c:pt>
                <c:pt idx="1">
                  <c:v>Факт
2018 ж.</c:v>
                </c:pt>
                <c:pt idx="2">
                  <c:v>9 ай. 2019 ж.</c:v>
                </c:pt>
                <c:pt idx="3">
                  <c:v>Болжам
2019 ж.</c:v>
                </c:pt>
              </c:strCache>
            </c:strRef>
          </c:cat>
          <c:val>
            <c:numRef>
              <c:f>'[таблицы для ФХД за 9 месяцев 2019г.xlsx]ДохРасх каз (2)'!$B$6:$E$6</c:f>
              <c:numCache>
                <c:formatCode>#,##0</c:formatCode>
                <c:ptCount val="4"/>
                <c:pt idx="0">
                  <c:v>211.83406600000001</c:v>
                </c:pt>
                <c:pt idx="1">
                  <c:v>281.15766200000002</c:v>
                </c:pt>
                <c:pt idx="2">
                  <c:v>319.36556905128668</c:v>
                </c:pt>
                <c:pt idx="3">
                  <c:v>427.29119557254523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421376"/>
        <c:axId val="141620352"/>
        <c:axId val="0"/>
      </c:bar3DChart>
      <c:catAx>
        <c:axId val="11642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620352"/>
        <c:crosses val="autoZero"/>
        <c:auto val="1"/>
        <c:lblAlgn val="ctr"/>
        <c:lblOffset val="100"/>
        <c:noMultiLvlLbl val="0"/>
      </c:catAx>
      <c:valAx>
        <c:axId val="1416203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16421376"/>
        <c:crosses val="autoZero"/>
        <c:crossBetween val="between"/>
      </c:valAx>
    </c:plotArea>
    <c:legend>
      <c:legendPos val="b"/>
      <c:layout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9513-1AC3-4453-90FD-6FF7A8C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Алинуров Сагын Алинурулы</cp:lastModifiedBy>
  <cp:revision>28</cp:revision>
  <cp:lastPrinted>2019-06-05T05:54:00Z</cp:lastPrinted>
  <dcterms:created xsi:type="dcterms:W3CDTF">2019-09-03T17:36:00Z</dcterms:created>
  <dcterms:modified xsi:type="dcterms:W3CDTF">2020-01-09T10:27:00Z</dcterms:modified>
</cp:coreProperties>
</file>