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7" w:rsidRDefault="00E96507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F6" w:rsidRPr="004922B8" w:rsidRDefault="004922B8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Informationon</w:t>
      </w:r>
      <w:r w:rsidR="001B004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esultsof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r w:rsidR="001B004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9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inancial and </w:t>
      </w:r>
      <w:r w:rsidR="001B00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2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conomic </w:t>
      </w:r>
      <w:r w:rsidR="001B004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922B8">
        <w:rPr>
          <w:rFonts w:ascii="Times New Roman" w:hAnsi="Times New Roman" w:cs="Times New Roman"/>
          <w:b/>
          <w:sz w:val="28"/>
          <w:szCs w:val="28"/>
          <w:lang w:val="en-US"/>
        </w:rPr>
        <w:t>ctivities</w:t>
      </w:r>
    </w:p>
    <w:p w:rsidR="00EA6582" w:rsidRPr="004922B8" w:rsidRDefault="004922B8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JSC NMC Tau-Ken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Samruk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="001B00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12 2018</w:t>
      </w:r>
    </w:p>
    <w:p w:rsidR="000C6CCE" w:rsidRPr="004922B8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507" w:rsidRPr="004922B8" w:rsidRDefault="00E96507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C28" w:rsidRPr="009E73DE" w:rsidRDefault="004922B8" w:rsidP="000E69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 performance indicators</w:t>
      </w:r>
    </w:p>
    <w:p w:rsidR="00A53538" w:rsidRPr="00BD7719" w:rsidRDefault="00A53538" w:rsidP="00A53538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53538" w:rsidRPr="009E73DE" w:rsidRDefault="004922B8" w:rsidP="00A5353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Performance indicators</w:t>
      </w:r>
    </w:p>
    <w:p w:rsidR="00A30746" w:rsidRPr="00BD7719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-50"/>
        <w:tblW w:w="4875" w:type="pct"/>
        <w:tblLook w:val="04A0" w:firstRow="1" w:lastRow="0" w:firstColumn="1" w:lastColumn="0" w:noHBand="0" w:noVBand="1"/>
      </w:tblPr>
      <w:tblGrid>
        <w:gridCol w:w="2951"/>
        <w:gridCol w:w="1883"/>
        <w:gridCol w:w="1072"/>
        <w:gridCol w:w="1172"/>
        <w:gridCol w:w="1072"/>
        <w:gridCol w:w="1596"/>
      </w:tblGrid>
      <w:tr w:rsidR="0059027B" w:rsidRPr="00A30746" w:rsidTr="00C1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Merge w:val="restart"/>
            <w:vAlign w:val="center"/>
            <w:hideMark/>
          </w:tcPr>
          <w:p w:rsidR="00B57EB2" w:rsidRPr="005A1DF6" w:rsidRDefault="004922B8" w:rsidP="004922B8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17" w:type="pct"/>
            <w:vMerge w:val="restart"/>
            <w:vAlign w:val="center"/>
            <w:hideMark/>
          </w:tcPr>
          <w:p w:rsidR="005A1DF6" w:rsidRPr="005A1DF6" w:rsidRDefault="005A1DF6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7EB2" w:rsidRPr="005A1DF6" w:rsidRDefault="004922B8" w:rsidP="00492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 of Measure</w:t>
            </w:r>
          </w:p>
        </w:tc>
        <w:tc>
          <w:tcPr>
            <w:tcW w:w="599" w:type="pct"/>
            <w:vAlign w:val="center"/>
            <w:hideMark/>
          </w:tcPr>
          <w:p w:rsidR="00737CF7" w:rsidRDefault="004922B8" w:rsidP="005A1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 </w:t>
            </w:r>
            <w:r w:rsidR="002718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</w:p>
          <w:p w:rsidR="00B57EB2" w:rsidRPr="005A1DF6" w:rsidRDefault="00790A85" w:rsidP="00492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17" w:type="pct"/>
            <w:gridSpan w:val="2"/>
            <w:vAlign w:val="center"/>
            <w:hideMark/>
          </w:tcPr>
          <w:p w:rsidR="00C11AF5" w:rsidRDefault="0059027B" w:rsidP="0073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</w:t>
            </w:r>
            <w:r w:rsidR="002718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</w:p>
          <w:p w:rsidR="00B57EB2" w:rsidRPr="005A1DF6" w:rsidRDefault="00B57EB2" w:rsidP="00590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90577" w:rsidRPr="002905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B57EB2" w:rsidRPr="005A1DF6" w:rsidRDefault="00B57EB2" w:rsidP="005902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1D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 w:rsidR="0027188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</w:tr>
      <w:tr w:rsidR="0059027B" w:rsidRPr="00A30746" w:rsidTr="00C1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Merge/>
            <w:shd w:val="clear" w:color="auto" w:fill="4BACC6" w:themeFill="accent5"/>
            <w:vAlign w:val="center"/>
            <w:hideMark/>
          </w:tcPr>
          <w:p w:rsidR="00B57EB2" w:rsidRPr="00A30746" w:rsidRDefault="00B57EB2" w:rsidP="005A1DF6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17" w:type="pct"/>
            <w:vMerge/>
            <w:shd w:val="clear" w:color="auto" w:fill="4BACC6" w:themeFill="accent5"/>
            <w:vAlign w:val="center"/>
            <w:hideMark/>
          </w:tcPr>
          <w:p w:rsidR="00B57EB2" w:rsidRPr="00A30746" w:rsidRDefault="00B57EB2" w:rsidP="005A1DF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4BACC6" w:themeFill="accent5"/>
            <w:vAlign w:val="center"/>
            <w:hideMark/>
          </w:tcPr>
          <w:p w:rsidR="00B57EB2" w:rsidRPr="00641293" w:rsidRDefault="0059027B" w:rsidP="0059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Fact</w:t>
            </w:r>
          </w:p>
        </w:tc>
        <w:tc>
          <w:tcPr>
            <w:tcW w:w="601" w:type="pct"/>
            <w:shd w:val="clear" w:color="auto" w:fill="4BACC6" w:themeFill="accent5"/>
            <w:vAlign w:val="center"/>
            <w:hideMark/>
          </w:tcPr>
          <w:p w:rsidR="00B57EB2" w:rsidRPr="00581DE9" w:rsidRDefault="0059027B" w:rsidP="0059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</w:t>
            </w:r>
          </w:p>
        </w:tc>
        <w:tc>
          <w:tcPr>
            <w:tcW w:w="616" w:type="pct"/>
            <w:shd w:val="clear" w:color="auto" w:fill="4BACC6" w:themeFill="accent5"/>
            <w:vAlign w:val="center"/>
            <w:hideMark/>
          </w:tcPr>
          <w:p w:rsidR="00B57EB2" w:rsidRPr="00581DE9" w:rsidRDefault="0059027B" w:rsidP="0059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Fact</w:t>
            </w:r>
          </w:p>
        </w:tc>
        <w:tc>
          <w:tcPr>
            <w:tcW w:w="550" w:type="pct"/>
            <w:shd w:val="clear" w:color="auto" w:fill="4BACC6" w:themeFill="accent5"/>
            <w:vAlign w:val="center"/>
            <w:hideMark/>
          </w:tcPr>
          <w:p w:rsidR="00B57EB2" w:rsidRPr="00581DE9" w:rsidRDefault="0059027B" w:rsidP="0059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Forecast</w:t>
            </w:r>
          </w:p>
        </w:tc>
      </w:tr>
      <w:tr w:rsidR="0059027B" w:rsidRPr="009E73DE" w:rsidTr="00C11A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hideMark/>
          </w:tcPr>
          <w:p w:rsidR="004A4F18" w:rsidRPr="009E73DE" w:rsidRDefault="0059027B" w:rsidP="00A3074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Production of refined gold</w:t>
            </w:r>
          </w:p>
        </w:tc>
        <w:tc>
          <w:tcPr>
            <w:tcW w:w="617" w:type="pct"/>
            <w:hideMark/>
          </w:tcPr>
          <w:p w:rsidR="004A4F18" w:rsidRPr="0059027B" w:rsidRDefault="0059027B" w:rsidP="00590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thousand</w:t>
            </w:r>
            <w:proofErr w:type="spellStart"/>
            <w:r w:rsidRPr="0059027B">
              <w:rPr>
                <w:rFonts w:ascii="Times New Roman" w:hAnsi="Times New Roman" w:cs="Times New Roman"/>
                <w:sz w:val="20"/>
                <w:szCs w:val="20"/>
              </w:rPr>
              <w:t>ounces</w:t>
            </w:r>
            <w:proofErr w:type="spellEnd"/>
            <w:r w:rsidRPr="005902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027B">
              <w:rPr>
                <w:rFonts w:ascii="Times New Roman" w:hAnsi="Times New Roman" w:cs="Times New Roman"/>
                <w:sz w:val="20"/>
                <w:szCs w:val="20"/>
              </w:rPr>
              <w:t>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99" w:type="pct"/>
          </w:tcPr>
          <w:p w:rsidR="004A4F18" w:rsidRPr="00290577" w:rsidRDefault="004A4F18" w:rsidP="004A4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9027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5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2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4A4F18" w:rsidRPr="0027188D" w:rsidRDefault="0027188D" w:rsidP="0027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590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4A4F18" w:rsidRPr="00245C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90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6" w:type="pct"/>
          </w:tcPr>
          <w:p w:rsidR="004A4F18" w:rsidRPr="0027188D" w:rsidRDefault="0027188D" w:rsidP="0027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590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A4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902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0" w:type="pct"/>
          </w:tcPr>
          <w:p w:rsidR="004A4F18" w:rsidRPr="00C23AD3" w:rsidRDefault="00C23AD3" w:rsidP="00C2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902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23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A4F18" w:rsidRPr="00C23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3A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9027B" w:rsidRPr="009E73DE" w:rsidTr="00C11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hideMark/>
          </w:tcPr>
          <w:p w:rsidR="00290577" w:rsidRPr="009E73DE" w:rsidRDefault="0059027B" w:rsidP="0059027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Production of metallurgic silicon</w:t>
            </w:r>
          </w:p>
        </w:tc>
        <w:tc>
          <w:tcPr>
            <w:tcW w:w="617" w:type="pct"/>
            <w:hideMark/>
          </w:tcPr>
          <w:p w:rsidR="00290577" w:rsidRPr="009E73DE" w:rsidRDefault="0059027B" w:rsidP="00590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tons</w:t>
            </w:r>
          </w:p>
        </w:tc>
        <w:tc>
          <w:tcPr>
            <w:tcW w:w="599" w:type="pct"/>
          </w:tcPr>
          <w:p w:rsidR="00290577" w:rsidRPr="00245C75" w:rsidRDefault="004A4F18" w:rsidP="004A4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12 732</w:t>
            </w:r>
          </w:p>
        </w:tc>
        <w:tc>
          <w:tcPr>
            <w:tcW w:w="601" w:type="pct"/>
          </w:tcPr>
          <w:p w:rsidR="00290577" w:rsidRPr="004A4F18" w:rsidRDefault="00C11AF5" w:rsidP="00C1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pct"/>
          </w:tcPr>
          <w:p w:rsidR="00290577" w:rsidRPr="004A4F18" w:rsidRDefault="00C11AF5" w:rsidP="00C1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14 408</w:t>
            </w:r>
          </w:p>
        </w:tc>
        <w:tc>
          <w:tcPr>
            <w:tcW w:w="550" w:type="pct"/>
          </w:tcPr>
          <w:p w:rsidR="00290577" w:rsidRPr="00DF4CF5" w:rsidRDefault="00CB2E41" w:rsidP="00DF4CF5">
            <w:pPr>
              <w:pStyle w:val="a5"/>
              <w:numPr>
                <w:ilvl w:val="0"/>
                <w:numId w:val="3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C23AD3" w:rsidRPr="00DF4CF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30746" w:rsidRPr="00BD7719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F4CF5" w:rsidRDefault="0059027B" w:rsidP="00DF4CF5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27B">
        <w:rPr>
          <w:rFonts w:ascii="Times New Roman" w:hAnsi="Times New Roman" w:cs="Times New Roman"/>
          <w:sz w:val="28"/>
          <w:szCs w:val="28"/>
          <w:lang w:val="en-US"/>
        </w:rPr>
        <w:t xml:space="preserve">Refined gold production at a refinery in Astana during the reporting period amounted to 729.6 thousand ounces (22.7 tons), of which 126.6 thousand ounces (3.94 tons) was processed from raw materials obtained on a give-and-take basis (tolling). Thus, the actual </w:t>
      </w:r>
      <w:r w:rsidR="00B47EBB">
        <w:rPr>
          <w:rFonts w:ascii="Times New Roman" w:hAnsi="Times New Roman" w:cs="Times New Roman"/>
          <w:sz w:val="28"/>
          <w:szCs w:val="28"/>
          <w:lang w:val="en-US"/>
        </w:rPr>
        <w:t>indicator of the</w:t>
      </w:r>
      <w:r w:rsidRPr="0059027B">
        <w:rPr>
          <w:rFonts w:ascii="Times New Roman" w:hAnsi="Times New Roman" w:cs="Times New Roman"/>
          <w:sz w:val="28"/>
          <w:szCs w:val="28"/>
          <w:lang w:val="en-US"/>
        </w:rPr>
        <w:t xml:space="preserve"> refined gold</w:t>
      </w:r>
      <w:r w:rsidR="00B47EBB">
        <w:rPr>
          <w:rFonts w:ascii="Times New Roman" w:hAnsi="Times New Roman" w:cs="Times New Roman"/>
          <w:sz w:val="28"/>
          <w:szCs w:val="28"/>
          <w:lang w:val="en-US"/>
        </w:rPr>
        <w:t xml:space="preserve"> production </w:t>
      </w:r>
      <w:r w:rsidRPr="0059027B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B47EB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027B">
        <w:rPr>
          <w:rFonts w:ascii="Times New Roman" w:hAnsi="Times New Roman" w:cs="Times New Roman"/>
          <w:sz w:val="28"/>
          <w:szCs w:val="28"/>
          <w:lang w:val="en-US"/>
        </w:rPr>
        <w:t xml:space="preserve">12 2018 was exceeded by 13% </w:t>
      </w:r>
      <w:r w:rsidR="00B47EBB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59027B">
        <w:rPr>
          <w:rFonts w:ascii="Times New Roman" w:hAnsi="Times New Roman" w:cs="Times New Roman"/>
          <w:sz w:val="28"/>
          <w:szCs w:val="28"/>
          <w:lang w:val="en-US"/>
        </w:rPr>
        <w:t>compared to the plan</w:t>
      </w:r>
      <w:r w:rsidR="00B47E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FA4" w:rsidRPr="00DF4CF5" w:rsidRDefault="00DF4CF5" w:rsidP="00DF4CF5">
      <w:pPr>
        <w:numPr>
          <w:ilvl w:val="0"/>
          <w:numId w:val="3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CF5">
        <w:rPr>
          <w:rFonts w:ascii="Times New Roman" w:hAnsi="Times New Roman" w:cs="Times New Roman"/>
          <w:sz w:val="28"/>
          <w:szCs w:val="28"/>
          <w:lang w:val="en-US"/>
        </w:rPr>
        <w:t>Metallurgical silicon production plan for M12 2018 at the plant in Karaganda in the reporting period was executed at 78%</w:t>
      </w:r>
      <w:r w:rsidR="00B03FA4" w:rsidRPr="00DF4C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114" w:rsidRPr="00DF4CF5" w:rsidRDefault="00604114" w:rsidP="0060411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BA39CD" w:rsidRPr="00A53538" w:rsidRDefault="00DF4CF5" w:rsidP="008E76C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Financial indicators</w:t>
      </w:r>
    </w:p>
    <w:p w:rsidR="00A53538" w:rsidRPr="00A53538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-50"/>
        <w:tblW w:w="9996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551"/>
        <w:gridCol w:w="1843"/>
        <w:gridCol w:w="1827"/>
      </w:tblGrid>
      <w:tr w:rsidR="00BC2B30" w:rsidRPr="005A1DF6" w:rsidTr="00F7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  <w:hideMark/>
          </w:tcPr>
          <w:p w:rsidR="00BC2B30" w:rsidRPr="005A1DF6" w:rsidRDefault="00BC2B30" w:rsidP="00BC2B30">
            <w:pPr>
              <w:pStyle w:val="a5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73" w:type="dxa"/>
            <w:vAlign w:val="center"/>
            <w:hideMark/>
          </w:tcPr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 of Measure</w:t>
            </w:r>
          </w:p>
        </w:tc>
        <w:tc>
          <w:tcPr>
            <w:tcW w:w="1551" w:type="dxa"/>
          </w:tcPr>
          <w:p w:rsidR="00BC2B30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12</w:t>
            </w:r>
          </w:p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7 </w:t>
            </w:r>
          </w:p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Fact</w:t>
            </w:r>
            <w:proofErr w:type="spellEnd"/>
          </w:p>
        </w:tc>
        <w:tc>
          <w:tcPr>
            <w:tcW w:w="1843" w:type="dxa"/>
            <w:hideMark/>
          </w:tcPr>
          <w:p w:rsidR="00BC2B30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12</w:t>
            </w:r>
          </w:p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1DF6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8 </w:t>
            </w:r>
          </w:p>
          <w:p w:rsidR="00BC2B30" w:rsidRPr="005A1DF6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Fact</w:t>
            </w:r>
            <w:proofErr w:type="spellEnd"/>
          </w:p>
        </w:tc>
        <w:tc>
          <w:tcPr>
            <w:tcW w:w="1827" w:type="dxa"/>
          </w:tcPr>
          <w:p w:rsidR="00BC2B30" w:rsidRPr="00121E0D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121E0D">
              <w:rPr>
                <w:rFonts w:ascii="Times New Roman" w:eastAsia="Times New Roman" w:hAnsi="Times New Roman" w:cs="Times New Roman"/>
                <w:color w:val="auto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9</w:t>
            </w:r>
          </w:p>
          <w:p w:rsidR="00BC2B30" w:rsidRPr="00BC2B30" w:rsidRDefault="00BC2B30" w:rsidP="00BC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Forecast</w:t>
            </w:r>
            <w:proofErr w:type="spellEnd"/>
          </w:p>
        </w:tc>
      </w:tr>
      <w:tr w:rsidR="00121E0D" w:rsidRPr="009E73DE" w:rsidTr="00121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:rsidR="00121E0D" w:rsidRPr="00741051" w:rsidRDefault="00121E0D" w:rsidP="00484704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741051">
              <w:rPr>
                <w:rFonts w:ascii="Times New Roman" w:eastAsia="Times New Roman" w:hAnsi="Times New Roman" w:cs="Times New Roman"/>
                <w:b w:val="0"/>
              </w:rPr>
              <w:t xml:space="preserve">EBITDA </w:t>
            </w:r>
            <w:proofErr w:type="spellStart"/>
            <w:r w:rsidRPr="00741051">
              <w:rPr>
                <w:rFonts w:ascii="Times New Roman" w:eastAsia="Times New Roman" w:hAnsi="Times New Roman" w:cs="Times New Roman"/>
                <w:b w:val="0"/>
              </w:rPr>
              <w:t>margin</w:t>
            </w:r>
            <w:proofErr w:type="spellEnd"/>
            <w:r w:rsidRPr="00741051">
              <w:rPr>
                <w:rFonts w:ascii="Times New Roman" w:eastAsia="Times New Roman" w:hAnsi="Times New Roman" w:cs="Times New Roman"/>
                <w:b w:val="0"/>
              </w:rPr>
              <w:t>*</w:t>
            </w:r>
          </w:p>
        </w:tc>
        <w:tc>
          <w:tcPr>
            <w:tcW w:w="1973" w:type="dxa"/>
            <w:vAlign w:val="center"/>
            <w:hideMark/>
          </w:tcPr>
          <w:p w:rsidR="00121E0D" w:rsidRPr="009E73DE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E73D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51" w:type="dxa"/>
            <w:vAlign w:val="center"/>
          </w:tcPr>
          <w:p w:rsidR="00121E0D" w:rsidRPr="0044558B" w:rsidRDefault="0044558B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02B5">
              <w:rPr>
                <w:rFonts w:ascii="Times New Roman" w:eastAsia="Times New Roman" w:hAnsi="Times New Roman" w:cs="Times New Roman"/>
              </w:rPr>
              <w:t>(</w:t>
            </w:r>
            <w:r w:rsidR="0059027B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8F0D2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121E0D" w:rsidRPr="00642856" w:rsidRDefault="0015597D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(1,1)</w:t>
            </w:r>
          </w:p>
        </w:tc>
        <w:tc>
          <w:tcPr>
            <w:tcW w:w="1827" w:type="dxa"/>
          </w:tcPr>
          <w:p w:rsidR="00121E0D" w:rsidRPr="0091405F" w:rsidRDefault="007A62AC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  <w:r w:rsidRPr="00DD6103">
              <w:rPr>
                <w:rFonts w:ascii="Times New Roman" w:eastAsia="Times New Roman" w:hAnsi="Times New Roman" w:cs="Times New Roman"/>
              </w:rPr>
              <w:t>(</w:t>
            </w:r>
            <w:r w:rsidR="0059027B">
              <w:rPr>
                <w:rFonts w:ascii="Times New Roman" w:eastAsia="Times New Roman" w:hAnsi="Times New Roman" w:cs="Times New Roman"/>
              </w:rPr>
              <w:t>0.</w:t>
            </w:r>
            <w:r w:rsidR="008F0D26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D61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21E0D" w:rsidRPr="009E73DE" w:rsidTr="00121E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:rsidR="00121E0D" w:rsidRPr="00C17BDD" w:rsidRDefault="00BC2B30" w:rsidP="00BC2B30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lang w:val="en-US"/>
              </w:rPr>
              <w:t>Net income</w:t>
            </w:r>
            <w:r w:rsidR="00121E0D">
              <w:rPr>
                <w:rFonts w:ascii="Times New Roman" w:eastAsia="Times New Roman" w:hAnsi="Times New Roman" w:cs="Times New Roman"/>
                <w:b w:val="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lang w:val="en-US"/>
              </w:rPr>
              <w:t>loss</w:t>
            </w:r>
            <w:r w:rsidR="00121E0D">
              <w:rPr>
                <w:rFonts w:ascii="Times New Roman" w:eastAsia="Times New Roman" w:hAnsi="Times New Roman" w:cs="Times New Roman"/>
                <w:b w:val="0"/>
              </w:rPr>
              <w:t>)</w:t>
            </w:r>
          </w:p>
        </w:tc>
        <w:tc>
          <w:tcPr>
            <w:tcW w:w="1973" w:type="dxa"/>
            <w:vAlign w:val="center"/>
          </w:tcPr>
          <w:p w:rsidR="00121E0D" w:rsidRPr="009E73DE" w:rsidRDefault="00BC2B30" w:rsidP="00BC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KZT billion</w:t>
            </w:r>
          </w:p>
        </w:tc>
        <w:tc>
          <w:tcPr>
            <w:tcW w:w="1551" w:type="dxa"/>
            <w:vAlign w:val="center"/>
          </w:tcPr>
          <w:p w:rsidR="00121E0D" w:rsidRPr="00CD3BAA" w:rsidRDefault="008F0D26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9027B">
              <w:rPr>
                <w:rFonts w:ascii="Times New Roman" w:eastAsia="Times New Roman" w:hAnsi="Times New Roman" w:cs="Times New Roman"/>
              </w:rPr>
              <w:t>6.</w:t>
            </w:r>
            <w:r w:rsidR="00CD3BAA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121E0D" w:rsidRPr="00CD3BAA" w:rsidRDefault="009C1042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44</w:t>
            </w:r>
            <w:r w:rsidR="0059027B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CD3BA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27" w:type="dxa"/>
          </w:tcPr>
          <w:p w:rsidR="00121E0D" w:rsidRPr="00BD4311" w:rsidRDefault="008F0D26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59027B">
              <w:rPr>
                <w:rFonts w:ascii="Times New Roman" w:eastAsia="Times New Roman" w:hAnsi="Times New Roman" w:cs="Times New Roman"/>
                <w:lang w:val="en-US"/>
              </w:rPr>
              <w:t>6.</w:t>
            </w:r>
            <w:r w:rsidR="00BD431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</w:tbl>
    <w:p w:rsidR="00F32CDA" w:rsidRPr="00BC2B30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C2B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* - </w:t>
      </w:r>
      <w:r w:rsidR="00BC2B30">
        <w:rPr>
          <w:rFonts w:ascii="Times New Roman" w:hAnsi="Times New Roman" w:cs="Times New Roman"/>
          <w:i/>
          <w:sz w:val="20"/>
          <w:szCs w:val="20"/>
          <w:lang w:val="en-US"/>
        </w:rPr>
        <w:t>indicators are calculated by the methodology approved by the Sole Shareholder</w:t>
      </w:r>
      <w:bookmarkStart w:id="0" w:name="_GoBack"/>
      <w:bookmarkEnd w:id="0"/>
    </w:p>
    <w:p w:rsidR="001C6946" w:rsidRPr="00BC2B30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D6179E" w:rsidRDefault="00D6179E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CCB" w:rsidRPr="00E31531" w:rsidRDefault="00BC2B30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12 2018, the actual </w:t>
      </w:r>
      <w:r w:rsidRPr="00CB2E41">
        <w:rPr>
          <w:rFonts w:ascii="Times New Roman" w:hAnsi="Times New Roman" w:cs="Times New Roman"/>
          <w:b/>
          <w:sz w:val="28"/>
          <w:szCs w:val="28"/>
          <w:lang w:val="en-US"/>
        </w:rPr>
        <w:t>EBITDA margin</w:t>
      </w:r>
      <w:r w:rsidR="00F73F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2856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15597D">
        <w:rPr>
          <w:rFonts w:ascii="Times New Roman" w:hAnsi="Times New Roman" w:cs="Times New Roman"/>
          <w:sz w:val="28"/>
          <w:szCs w:val="28"/>
          <w:lang w:val="kk-KZ"/>
        </w:rPr>
        <w:t>-1</w:t>
      </w:r>
      <w:proofErr w:type="gramStart"/>
      <w:r w:rsidR="0015597D">
        <w:rPr>
          <w:rFonts w:ascii="Times New Roman" w:hAnsi="Times New Roman" w:cs="Times New Roman"/>
          <w:sz w:val="28"/>
          <w:szCs w:val="28"/>
          <w:lang w:val="kk-KZ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%. The negative dynamics of 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EBITDA margin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compared to the same period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last year was due to an increase in the Operational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>oss (-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1.2 billion) due to an increase in General and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dministrative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>xpenses (-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0.9 billion) and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ransportation and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>ales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Cost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 (-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0.2 billion)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Gross </w:t>
      </w:r>
      <w:proofErr w:type="spellStart"/>
      <w:r w:rsidR="007B4C76">
        <w:rPr>
          <w:rFonts w:ascii="Times New Roman" w:hAnsi="Times New Roman" w:cs="Times New Roman"/>
          <w:sz w:val="28"/>
          <w:szCs w:val="28"/>
          <w:lang w:val="en-US"/>
        </w:rPr>
        <w:t>Income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spellEnd"/>
      <w:r w:rsidRPr="00BC2B3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C2B30">
        <w:rPr>
          <w:rFonts w:ascii="Times New Roman" w:hAnsi="Times New Roman" w:cs="Times New Roman"/>
          <w:sz w:val="28"/>
          <w:szCs w:val="28"/>
          <w:lang w:val="en-US"/>
        </w:rPr>
        <w:t>0.1 billion</w:t>
      </w:r>
      <w:r w:rsidR="00664914" w:rsidRPr="00E3153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07EA4" w:rsidRPr="00E315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18F4" w:rsidRPr="00B80E61" w:rsidRDefault="00E31531" w:rsidP="00B80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The decrease in Net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ncome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KZT12.5 billion 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12 2018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compared to the same period in 2017, is mainly due to (1) a decrease in net </w:t>
      </w:r>
      <w:r w:rsidR="007B4C76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E31531">
        <w:rPr>
          <w:rFonts w:ascii="Times New Roman" w:hAnsi="Times New Roman" w:cs="Times New Roman"/>
          <w:sz w:val="28"/>
          <w:szCs w:val="28"/>
          <w:lang w:val="en-US"/>
        </w:rPr>
        <w:t>Kazzinc</w:t>
      </w:r>
      <w:proofErr w:type="spellEnd"/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LLP, which is accounted for by the Company using the equity method (-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11.4 billion) formed </w:t>
      </w:r>
      <w:r>
        <w:rPr>
          <w:rFonts w:ascii="Times New Roman" w:hAnsi="Times New Roman" w:cs="Times New Roman"/>
          <w:sz w:val="28"/>
          <w:szCs w:val="28"/>
          <w:lang w:val="en-US"/>
        </w:rPr>
        <w:t>as a result of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the reduction of </w:t>
      </w:r>
      <w:r w:rsidR="007B4C76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s from the sale of </w:t>
      </w:r>
      <w:proofErr w:type="spellStart"/>
      <w:r w:rsidRPr="00E31531">
        <w:rPr>
          <w:rFonts w:ascii="Times New Roman" w:hAnsi="Times New Roman" w:cs="Times New Roman"/>
          <w:sz w:val="28"/>
          <w:szCs w:val="28"/>
          <w:lang w:val="en-US"/>
        </w:rPr>
        <w:t>Kazzinc</w:t>
      </w:r>
      <w:proofErr w:type="spellEnd"/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LLP, due to the reduction in the production of lead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-18% or -10 thousand tons), copper (</w:t>
      </w:r>
      <w:r w:rsidR="00DC37B6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-11% or 6 thousand tons), </w:t>
      </w:r>
      <w:r w:rsidR="00DC37B6">
        <w:rPr>
          <w:rFonts w:ascii="Times New Roman" w:hAnsi="Times New Roman" w:cs="Times New Roman"/>
          <w:sz w:val="28"/>
          <w:szCs w:val="28"/>
          <w:lang w:val="en-US"/>
        </w:rPr>
        <w:t>in terms of the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 general decrease in distribution costs and raw material costs, lower market prices for lead (</w:t>
      </w:r>
      <w:r w:rsidR="00DC37B6">
        <w:rPr>
          <w:rFonts w:ascii="Times New Roman" w:hAnsi="Times New Roman" w:cs="Times New Roman"/>
          <w:sz w:val="28"/>
          <w:szCs w:val="28"/>
          <w:lang w:val="en-US"/>
        </w:rPr>
        <w:t>-US$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114/ton), zinc (-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$28/ton) and gold (- 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US$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1.6/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ounces)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; (2) an increase in 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perati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onal L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oss (-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1.2 billion) and an increase in </w:t>
      </w:r>
      <w:r w:rsidR="007B4C76"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s from non-operating activities (-</w:t>
      </w:r>
      <w:r w:rsidR="00EF0FFD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 xml:space="preserve">0.2 billion) due to non-operating income and </w:t>
      </w:r>
      <w:r w:rsidR="00B80E61">
        <w:rPr>
          <w:rFonts w:ascii="Times New Roman" w:hAnsi="Times New Roman" w:cs="Times New Roman"/>
          <w:sz w:val="28"/>
          <w:szCs w:val="28"/>
          <w:lang w:val="en-US"/>
        </w:rPr>
        <w:t xml:space="preserve">currency </w:t>
      </w:r>
      <w:r w:rsidRPr="00E31531">
        <w:rPr>
          <w:rFonts w:ascii="Times New Roman" w:hAnsi="Times New Roman" w:cs="Times New Roman"/>
          <w:sz w:val="28"/>
          <w:szCs w:val="28"/>
          <w:lang w:val="en-US"/>
        </w:rPr>
        <w:t>exchange difference</w:t>
      </w:r>
      <w:r w:rsidR="00664126" w:rsidRPr="00B80E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6A1" w:rsidRPr="00B80E61" w:rsidRDefault="00B776A1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BFE" w:rsidRPr="00B80E61" w:rsidRDefault="00B80E61" w:rsidP="00B80E6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Informationon</w:t>
      </w:r>
      <w:r w:rsidRPr="00B80E61">
        <w:rPr>
          <w:rFonts w:ascii="Times New Roman" w:hAnsi="Times New Roman" w:cs="Times New Roman"/>
          <w:b/>
          <w:sz w:val="28"/>
          <w:szCs w:val="28"/>
          <w:lang w:val="en-US"/>
        </w:rPr>
        <w:t>Capital</w:t>
      </w:r>
      <w:proofErr w:type="spellEnd"/>
      <w:r w:rsidRPr="00B80E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0E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dequacy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Indicators</w:t>
      </w:r>
    </w:p>
    <w:p w:rsidR="00D30D45" w:rsidRPr="00B80E61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0D45" w:rsidRPr="00901956" w:rsidRDefault="00C54D2F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004185"/>
            <wp:effectExtent l="0" t="0" r="63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B05" w:rsidRPr="009A2B05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7026" w:rsidRPr="00B80E61" w:rsidRDefault="00B80E61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of December 31, 2018,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EquityCapital</w:t>
      </w:r>
      <w:r>
        <w:rPr>
          <w:rFonts w:ascii="Times New Roman" w:hAnsi="Times New Roman" w:cs="Times New Roman"/>
          <w:sz w:val="28"/>
          <w:szCs w:val="28"/>
          <w:lang w:val="en-US"/>
        </w:rPr>
        <w:t>oftheCompany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makes KZT</w:t>
      </w:r>
      <w:r w:rsidR="005773F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776A1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>billion</w:t>
      </w:r>
      <w:r w:rsidR="009F7026"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The increase in equity capital by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>38 billion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compared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 the size of equity capital of the same period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>last year, is mainly due to the following factors</w:t>
      </w:r>
      <w:r w:rsidR="009F7026" w:rsidRPr="00B80E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7047A" w:rsidRPr="00B80E61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B80E61" w:rsidRPr="00B80E61" w:rsidRDefault="00B80E61" w:rsidP="00B80E61">
      <w:pPr>
        <w:pStyle w:val="a5"/>
        <w:numPr>
          <w:ilvl w:val="0"/>
          <w:numId w:val="2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an increase in other components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capital </w:t>
      </w:r>
      <w:r>
        <w:rPr>
          <w:rFonts w:ascii="Times New Roman" w:hAnsi="Times New Roman" w:cs="Times New Roman"/>
          <w:sz w:val="28"/>
          <w:szCs w:val="28"/>
          <w:lang w:val="en-US"/>
        </w:rPr>
        <w:t>by KZT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61.1 billion, due to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recalculation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of the reporting currency of </w:t>
      </w:r>
      <w:proofErr w:type="spellStart"/>
      <w:r w:rsidRPr="00B80E61">
        <w:rPr>
          <w:rFonts w:ascii="Times New Roman" w:hAnsi="Times New Roman" w:cs="Times New Roman"/>
          <w:sz w:val="28"/>
          <w:szCs w:val="28"/>
          <w:lang w:val="en-US"/>
        </w:rPr>
        <w:t>Kazzinc</w:t>
      </w:r>
      <w:proofErr w:type="spellEnd"/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 LLP;</w:t>
      </w:r>
    </w:p>
    <w:p w:rsidR="001958EE" w:rsidRPr="00B80E61" w:rsidRDefault="00B80E61" w:rsidP="00B80E61">
      <w:pPr>
        <w:pStyle w:val="a5"/>
        <w:numPr>
          <w:ilvl w:val="0"/>
          <w:numId w:val="2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>ayment</w:t>
      </w:r>
      <w:proofErr w:type="gramEnd"/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 of dividends in favor of </w:t>
      </w:r>
      <w:proofErr w:type="spellStart"/>
      <w:r w:rsidRPr="00B80E61">
        <w:rPr>
          <w:rFonts w:ascii="Times New Roman" w:hAnsi="Times New Roman" w:cs="Times New Roman"/>
          <w:sz w:val="28"/>
          <w:szCs w:val="28"/>
          <w:lang w:val="en-US"/>
        </w:rPr>
        <w:t>Samruk-Kazyna</w:t>
      </w:r>
      <w:proofErr w:type="spellEnd"/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 JSC in the amount of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>56.4 billion at the end of 2017</w:t>
      </w:r>
      <w:r w:rsidR="00165461" w:rsidRPr="00B80E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5461" w:rsidRPr="00B80E61" w:rsidRDefault="00165461" w:rsidP="00165461">
      <w:pPr>
        <w:pStyle w:val="a5"/>
        <w:spacing w:before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87E" w:rsidRPr="00B80E61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662E60" w:rsidRPr="009E73DE" w:rsidRDefault="00B80E61" w:rsidP="00DF4CF5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Information on Liquidity Indicators</w:t>
      </w:r>
    </w:p>
    <w:p w:rsidR="00662E60" w:rsidRPr="00BD7719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80E61" w:rsidRPr="00B80E61" w:rsidRDefault="00B80E61" w:rsidP="00B8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Following the results of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12 2018, the financial dependency ratio </w:t>
      </w:r>
      <w:r w:rsidR="001E6132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s 0.05. </w:t>
      </w:r>
      <w:r w:rsidR="001E613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equity </w:t>
      </w:r>
      <w:r w:rsidR="001E6132">
        <w:rPr>
          <w:rFonts w:ascii="Times New Roman" w:hAnsi="Times New Roman" w:cs="Times New Roman"/>
          <w:sz w:val="28"/>
          <w:szCs w:val="28"/>
          <w:lang w:val="en-US"/>
        </w:rPr>
        <w:t xml:space="preserve">capital 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concentration </w:t>
      </w:r>
      <w:r w:rsidR="001E6132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>s 0.95</w:t>
      </w:r>
      <w:r w:rsidR="001E6132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Pr="00B80E61">
        <w:rPr>
          <w:rFonts w:ascii="Times New Roman" w:hAnsi="Times New Roman" w:cs="Times New Roman"/>
          <w:sz w:val="28"/>
          <w:szCs w:val="28"/>
          <w:lang w:val="en-US"/>
        </w:rPr>
        <w:t xml:space="preserve"> characterizes the current financial condition of the Company as stable and independent from external creditors.</w:t>
      </w:r>
    </w:p>
    <w:p w:rsidR="008E3B10" w:rsidRPr="0049594C" w:rsidRDefault="00B80E61" w:rsidP="001E613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E61">
        <w:rPr>
          <w:rFonts w:ascii="Times New Roman" w:hAnsi="Times New Roman" w:cs="Times New Roman"/>
          <w:sz w:val="28"/>
          <w:szCs w:val="28"/>
          <w:lang w:val="en-US"/>
        </w:rPr>
        <w:t>The indicator of the current liquidity ratio is 3.08, which positively characterizes the current financial condition of the Company, due to the sufficient amount of free resources to current liabilities</w:t>
      </w:r>
      <w:r w:rsidR="006B4212" w:rsidRPr="004959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3B10" w:rsidRPr="0049594C" w:rsidRDefault="008E3B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4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039AD" w:rsidRPr="0049594C" w:rsidRDefault="0049594C" w:rsidP="00DF4CF5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Detailed Forecast of Income and Losses</w:t>
      </w:r>
    </w:p>
    <w:p w:rsidR="00DD02B5" w:rsidRPr="0049594C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CA0" w:rsidRPr="0049594C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p w:rsidR="009D2759" w:rsidRPr="0049594C" w:rsidRDefault="0049594C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General Income and Loss, in KZT billion</w:t>
      </w:r>
    </w:p>
    <w:p w:rsidR="00B114B9" w:rsidRPr="0049594C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6"/>
          <w:szCs w:val="6"/>
          <w:lang w:val="en-US"/>
        </w:rPr>
      </w:pPr>
    </w:p>
    <w:p w:rsidR="00CA0723" w:rsidRPr="009E73DE" w:rsidRDefault="00C40C74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6"/>
          <w:szCs w:val="6"/>
        </w:rPr>
        <w:t>3</w:t>
      </w:r>
    </w:p>
    <w:p w:rsidR="00ED7155" w:rsidRDefault="00E76F82" w:rsidP="000903C7">
      <w:pPr>
        <w:pStyle w:val="Defaul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2534837"/>
            <wp:effectExtent l="0" t="0" r="635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155" w:rsidRDefault="00ED7155" w:rsidP="000903C7">
      <w:pPr>
        <w:pStyle w:val="Default"/>
        <w:jc w:val="both"/>
        <w:rPr>
          <w:sz w:val="28"/>
          <w:szCs w:val="28"/>
        </w:rPr>
      </w:pPr>
    </w:p>
    <w:p w:rsidR="00A15C79" w:rsidRPr="005640DA" w:rsidRDefault="00D730D4" w:rsidP="00ED7155">
      <w:pPr>
        <w:pStyle w:val="Defaul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income</w:t>
      </w:r>
      <w:r w:rsidRPr="00D730D4">
        <w:rPr>
          <w:sz w:val="28"/>
          <w:szCs w:val="28"/>
          <w:lang w:val="en-US"/>
        </w:rPr>
        <w:t xml:space="preserve"> in the amount of </w:t>
      </w:r>
      <w:r>
        <w:rPr>
          <w:sz w:val="28"/>
          <w:szCs w:val="28"/>
          <w:lang w:val="en-US"/>
        </w:rPr>
        <w:t>KZT</w:t>
      </w:r>
      <w:r w:rsidRPr="00D730D4">
        <w:rPr>
          <w:sz w:val="28"/>
          <w:szCs w:val="28"/>
          <w:lang w:val="en-US"/>
        </w:rPr>
        <w:t xml:space="preserve">273 billion for </w:t>
      </w:r>
      <w:r>
        <w:rPr>
          <w:sz w:val="28"/>
          <w:szCs w:val="28"/>
          <w:lang w:val="en-US"/>
        </w:rPr>
        <w:t>M</w:t>
      </w:r>
      <w:r w:rsidRPr="00D730D4">
        <w:rPr>
          <w:sz w:val="28"/>
          <w:szCs w:val="28"/>
          <w:lang w:val="en-US"/>
        </w:rPr>
        <w:t xml:space="preserve">12 2018 were formed mainly by </w:t>
      </w:r>
      <w:r>
        <w:rPr>
          <w:sz w:val="28"/>
          <w:szCs w:val="28"/>
          <w:lang w:val="en-US"/>
        </w:rPr>
        <w:t xml:space="preserve">income from </w:t>
      </w:r>
      <w:r w:rsidRPr="00D730D4">
        <w:rPr>
          <w:sz w:val="28"/>
          <w:szCs w:val="28"/>
          <w:lang w:val="en-US"/>
        </w:rPr>
        <w:t xml:space="preserve">sale of refined gold in the amount of </w:t>
      </w:r>
      <w:r w:rsidR="005640DA">
        <w:rPr>
          <w:sz w:val="28"/>
          <w:szCs w:val="28"/>
          <w:lang w:val="en-US"/>
        </w:rPr>
        <w:t>KZT</w:t>
      </w:r>
      <w:r w:rsidRPr="00D730D4">
        <w:rPr>
          <w:sz w:val="28"/>
          <w:szCs w:val="28"/>
          <w:lang w:val="en-US"/>
        </w:rPr>
        <w:t xml:space="preserve">257.5 billion, </w:t>
      </w:r>
      <w:r w:rsidR="005640DA">
        <w:rPr>
          <w:sz w:val="28"/>
          <w:szCs w:val="28"/>
          <w:lang w:val="en-US"/>
        </w:rPr>
        <w:t xml:space="preserve">at the expense of </w:t>
      </w:r>
      <w:r w:rsidRPr="00D730D4">
        <w:rPr>
          <w:sz w:val="28"/>
          <w:szCs w:val="28"/>
          <w:lang w:val="en-US"/>
        </w:rPr>
        <w:t xml:space="preserve">the sale of refined gold to the National Bank of the Republic of Kazakhstan and sales of metallurgical silicon in the amount of </w:t>
      </w:r>
      <w:r w:rsidR="005640DA">
        <w:rPr>
          <w:sz w:val="28"/>
          <w:szCs w:val="28"/>
          <w:lang w:val="en-US"/>
        </w:rPr>
        <w:t>KZT9.9 billion</w:t>
      </w:r>
      <w:r w:rsidRPr="00D730D4">
        <w:rPr>
          <w:sz w:val="28"/>
          <w:szCs w:val="28"/>
          <w:lang w:val="en-US"/>
        </w:rPr>
        <w:t xml:space="preserve">, financial income in the amount of </w:t>
      </w:r>
      <w:r w:rsidR="005640DA">
        <w:rPr>
          <w:sz w:val="28"/>
          <w:szCs w:val="28"/>
          <w:lang w:val="en-US"/>
        </w:rPr>
        <w:t>KZT</w:t>
      </w:r>
      <w:r w:rsidRPr="00D730D4">
        <w:rPr>
          <w:sz w:val="28"/>
          <w:szCs w:val="28"/>
          <w:lang w:val="en-US"/>
        </w:rPr>
        <w:t xml:space="preserve">2.3 billion received as a result of </w:t>
      </w:r>
      <w:r w:rsidR="005640DA">
        <w:rPr>
          <w:sz w:val="28"/>
          <w:szCs w:val="28"/>
          <w:lang w:val="en-US"/>
        </w:rPr>
        <w:t>allocation o</w:t>
      </w:r>
      <w:r w:rsidRPr="00D730D4">
        <w:rPr>
          <w:sz w:val="28"/>
          <w:szCs w:val="28"/>
          <w:lang w:val="en-US"/>
        </w:rPr>
        <w:t xml:space="preserve">f </w:t>
      </w:r>
      <w:r w:rsidR="005640DA">
        <w:rPr>
          <w:sz w:val="28"/>
          <w:szCs w:val="28"/>
          <w:lang w:val="en-US"/>
        </w:rPr>
        <w:t>idles</w:t>
      </w:r>
      <w:r w:rsidRPr="00D730D4">
        <w:rPr>
          <w:sz w:val="28"/>
          <w:szCs w:val="28"/>
          <w:lang w:val="en-US"/>
        </w:rPr>
        <w:t xml:space="preserve"> in second-tier banks, as well as receiving other income in the amount of </w:t>
      </w:r>
      <w:r w:rsidR="005640DA">
        <w:rPr>
          <w:sz w:val="28"/>
          <w:szCs w:val="28"/>
          <w:lang w:val="en-US"/>
        </w:rPr>
        <w:t>KZT</w:t>
      </w:r>
      <w:r w:rsidRPr="00D730D4">
        <w:rPr>
          <w:sz w:val="28"/>
          <w:szCs w:val="28"/>
          <w:lang w:val="en-US"/>
        </w:rPr>
        <w:t>1.6 billion</w:t>
      </w:r>
      <w:r w:rsidR="00A15C79" w:rsidRPr="005640DA">
        <w:rPr>
          <w:sz w:val="28"/>
          <w:szCs w:val="28"/>
          <w:lang w:val="en-US"/>
        </w:rPr>
        <w:t>.</w:t>
      </w:r>
    </w:p>
    <w:p w:rsidR="00C038F0" w:rsidRPr="00BD4EB4" w:rsidRDefault="005640DA" w:rsidP="00C37A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0DA">
        <w:rPr>
          <w:rFonts w:ascii="Times New Roman" w:hAnsi="Times New Roman" w:cs="Times New Roman"/>
          <w:sz w:val="28"/>
          <w:szCs w:val="28"/>
          <w:lang w:val="en-US"/>
        </w:rPr>
        <w:t xml:space="preserve">Consolidated expenses of the Company for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40DA">
        <w:rPr>
          <w:rFonts w:ascii="Times New Roman" w:hAnsi="Times New Roman" w:cs="Times New Roman"/>
          <w:sz w:val="28"/>
          <w:szCs w:val="28"/>
          <w:lang w:val="en-US"/>
        </w:rPr>
        <w:t xml:space="preserve">12 2018 amounted to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5640DA">
        <w:rPr>
          <w:rFonts w:ascii="Times New Roman" w:hAnsi="Times New Roman" w:cs="Times New Roman"/>
          <w:sz w:val="28"/>
          <w:szCs w:val="28"/>
          <w:lang w:val="en-US"/>
        </w:rPr>
        <w:t>281 billion and include mainly the purchase of gold-bearing raw materials, cost accounted for in refin</w:t>
      </w:r>
      <w:r w:rsidR="00BD4EB4">
        <w:rPr>
          <w:rFonts w:ascii="Times New Roman" w:hAnsi="Times New Roman" w:cs="Times New Roman"/>
          <w:sz w:val="28"/>
          <w:szCs w:val="28"/>
          <w:lang w:val="en-US"/>
        </w:rPr>
        <w:t>ed gold</w:t>
      </w:r>
      <w:r w:rsidRPr="005640DA">
        <w:rPr>
          <w:rFonts w:ascii="Times New Roman" w:hAnsi="Times New Roman" w:cs="Times New Roman"/>
          <w:sz w:val="28"/>
          <w:szCs w:val="28"/>
          <w:lang w:val="en-US"/>
        </w:rPr>
        <w:t>, cost of producing metallurgical silicon, general and administrative expenses, costs of transportation and sales a</w:t>
      </w:r>
      <w:r w:rsidR="00BD4EB4">
        <w:rPr>
          <w:rFonts w:ascii="Times New Roman" w:hAnsi="Times New Roman" w:cs="Times New Roman"/>
          <w:sz w:val="28"/>
          <w:szCs w:val="28"/>
          <w:lang w:val="en-US"/>
        </w:rPr>
        <w:t>s well as</w:t>
      </w:r>
      <w:r w:rsidRPr="005640DA">
        <w:rPr>
          <w:rFonts w:ascii="Times New Roman" w:hAnsi="Times New Roman" w:cs="Times New Roman"/>
          <w:sz w:val="28"/>
          <w:szCs w:val="28"/>
          <w:lang w:val="en-US"/>
        </w:rPr>
        <w:t xml:space="preserve"> other non-operating costs</w:t>
      </w:r>
      <w:r w:rsidR="00C038F0" w:rsidRPr="00BD4E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E98" w:rsidRPr="00D16544" w:rsidRDefault="00BD4EB4" w:rsidP="004F38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EB4">
        <w:rPr>
          <w:rFonts w:ascii="Times New Roman" w:hAnsi="Times New Roman" w:cs="Times New Roman"/>
          <w:sz w:val="28"/>
          <w:szCs w:val="28"/>
          <w:lang w:val="en-US"/>
        </w:rPr>
        <w:t xml:space="preserve">In 2019, the Company </w:t>
      </w:r>
      <w:r>
        <w:rPr>
          <w:rFonts w:ascii="Times New Roman" w:hAnsi="Times New Roman" w:cs="Times New Roman"/>
          <w:sz w:val="28"/>
          <w:szCs w:val="28"/>
          <w:lang w:val="en-US"/>
        </w:rPr>
        <w:t>forecasts general income in the amount of KZT</w:t>
      </w:r>
      <w:r w:rsidRPr="00BD4EB4">
        <w:rPr>
          <w:rFonts w:ascii="Times New Roman" w:hAnsi="Times New Roman" w:cs="Times New Roman"/>
          <w:sz w:val="28"/>
          <w:szCs w:val="28"/>
          <w:lang w:val="en-US"/>
        </w:rPr>
        <w:t>326 billion</w:t>
      </w:r>
      <w:r w:rsidR="00D16544">
        <w:rPr>
          <w:rFonts w:ascii="Times New Roman" w:hAnsi="Times New Roman" w:cs="Times New Roman"/>
          <w:sz w:val="28"/>
          <w:szCs w:val="28"/>
          <w:lang w:val="en-US"/>
        </w:rPr>
        <w:t xml:space="preserve"> at the expense of</w:t>
      </w:r>
      <w:r w:rsidRPr="00BD4EB4">
        <w:rPr>
          <w:rFonts w:ascii="Times New Roman" w:hAnsi="Times New Roman" w:cs="Times New Roman"/>
          <w:sz w:val="28"/>
          <w:szCs w:val="28"/>
          <w:lang w:val="en-US"/>
        </w:rPr>
        <w:t xml:space="preserve"> the sale of refined gold in the amount of </w:t>
      </w:r>
      <w:r w:rsidR="00D16544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D4EB4">
        <w:rPr>
          <w:rFonts w:ascii="Times New Roman" w:hAnsi="Times New Roman" w:cs="Times New Roman"/>
          <w:sz w:val="28"/>
          <w:szCs w:val="28"/>
          <w:lang w:val="en-US"/>
        </w:rPr>
        <w:t xml:space="preserve">310.4 billion to the National Bank of the Republic of Kazakhstan, sales of metallurgical silicon in the amount of </w:t>
      </w:r>
      <w:r w:rsidR="00D16544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D4EB4">
        <w:rPr>
          <w:rFonts w:ascii="Times New Roman" w:hAnsi="Times New Roman" w:cs="Times New Roman"/>
          <w:sz w:val="28"/>
          <w:szCs w:val="28"/>
          <w:lang w:val="en-US"/>
        </w:rPr>
        <w:t xml:space="preserve">13.3 billion, sales of refined silver in the amount of </w:t>
      </w:r>
      <w:r w:rsidR="00D16544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BD4EB4">
        <w:rPr>
          <w:rFonts w:ascii="Times New Roman" w:hAnsi="Times New Roman" w:cs="Times New Roman"/>
          <w:sz w:val="28"/>
          <w:szCs w:val="28"/>
          <w:lang w:val="en-US"/>
        </w:rPr>
        <w:t>1.3 billion</w:t>
      </w:r>
      <w:r w:rsidR="008A1F98" w:rsidRPr="00D165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319C" w:rsidRPr="003C1BE0" w:rsidRDefault="00D16544" w:rsidP="00BE319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losses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 for 2019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scheduled 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in the amount of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329 billion and include expenses for the purchase of gold-bearing raw materials and expenses </w:t>
      </w:r>
      <w:r>
        <w:rPr>
          <w:rFonts w:ascii="Times New Roman" w:hAnsi="Times New Roman" w:cs="Times New Roman"/>
          <w:sz w:val="28"/>
          <w:szCs w:val="28"/>
          <w:lang w:val="en-US"/>
        </w:rPr>
        <w:t>accounted for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 in the production of refined gold and metallurgical silicon in the amount of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323.3 billion, general and administrative expenses of 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orporate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enter of the Company and its subsidiaries in the amount of </w:t>
      </w:r>
      <w:r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4.6 billion, implementation costs in the amount of </w:t>
      </w:r>
      <w:r w:rsidR="00957009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 xml:space="preserve">0.3 billion, other expenses in the amount of </w:t>
      </w:r>
      <w:r w:rsidR="00957009">
        <w:rPr>
          <w:rFonts w:ascii="Times New Roman" w:hAnsi="Times New Roman" w:cs="Times New Roman"/>
          <w:sz w:val="28"/>
          <w:szCs w:val="28"/>
          <w:lang w:val="en-US"/>
        </w:rPr>
        <w:t>KZT</w:t>
      </w:r>
      <w:r w:rsidRPr="00D16544">
        <w:rPr>
          <w:rFonts w:ascii="Times New Roman" w:hAnsi="Times New Roman" w:cs="Times New Roman"/>
          <w:sz w:val="28"/>
          <w:szCs w:val="28"/>
          <w:lang w:val="en-US"/>
        </w:rPr>
        <w:t>0.8 billion</w:t>
      </w:r>
      <w:r w:rsidR="00BE319C" w:rsidRPr="003C1B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EBA" w:rsidRPr="00DB1EC6" w:rsidRDefault="00BE71D4" w:rsidP="008D1EB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1D4">
        <w:rPr>
          <w:rFonts w:ascii="Times New Roman" w:hAnsi="Times New Roman" w:cs="Times New Roman"/>
          <w:sz w:val="28"/>
          <w:szCs w:val="28"/>
          <w:lang w:val="kk-KZ"/>
        </w:rPr>
        <w:t xml:space="preserve">Thus,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since </w:t>
      </w:r>
      <w:r w:rsidRPr="00BE71D4">
        <w:rPr>
          <w:rFonts w:ascii="Times New Roman" w:hAnsi="Times New Roman" w:cs="Times New Roman"/>
          <w:sz w:val="28"/>
          <w:szCs w:val="28"/>
          <w:lang w:val="kk-KZ"/>
        </w:rPr>
        <w:t xml:space="preserve">2020, the Company plans to generate </w:t>
      </w:r>
      <w:r>
        <w:rPr>
          <w:rFonts w:ascii="Times New Roman" w:hAnsi="Times New Roman" w:cs="Times New Roman"/>
          <w:sz w:val="28"/>
          <w:szCs w:val="28"/>
          <w:lang w:val="en-US"/>
        </w:rPr>
        <w:t>income</w:t>
      </w:r>
      <w:r w:rsidRPr="00BE71D4">
        <w:rPr>
          <w:rFonts w:ascii="Times New Roman" w:hAnsi="Times New Roman" w:cs="Times New Roman"/>
          <w:sz w:val="28"/>
          <w:szCs w:val="28"/>
          <w:lang w:val="kk-KZ"/>
        </w:rPr>
        <w:t xml:space="preserve"> from the sale of lead-zinc and lead-silver concentrates </w:t>
      </w:r>
      <w:r>
        <w:rPr>
          <w:rFonts w:ascii="Times New Roman" w:hAnsi="Times New Roman" w:cs="Times New Roman"/>
          <w:sz w:val="28"/>
          <w:szCs w:val="28"/>
          <w:lang w:val="en-US"/>
        </w:rPr>
        <w:t>at the expense of</w:t>
      </w:r>
      <w:r w:rsidRPr="00BE71D4">
        <w:rPr>
          <w:rFonts w:ascii="Times New Roman" w:hAnsi="Times New Roman" w:cs="Times New Roman"/>
          <w:sz w:val="28"/>
          <w:szCs w:val="28"/>
          <w:lang w:val="kk-KZ"/>
        </w:rPr>
        <w:t xml:space="preserve"> the commissioning of processing plants at Shalkiya deposits in the Kyzylorda region and Alaigyr in the Karaganda region</w:t>
      </w:r>
      <w:r w:rsidR="00E92771" w:rsidRPr="00DB1E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D1EBA" w:rsidRPr="00DB1EC6" w:rsidSect="00BD7719">
      <w:footerReference w:type="even" r:id="rId11"/>
      <w:footerReference w:type="default" r:id="rId12"/>
      <w:footerReference w:type="first" r:id="rId1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6C" w:rsidRDefault="00F73F6C" w:rsidP="00BA39CD">
      <w:pPr>
        <w:spacing w:after="0" w:line="240" w:lineRule="auto"/>
      </w:pPr>
      <w:r>
        <w:separator/>
      </w:r>
    </w:p>
  </w:endnote>
  <w:endnote w:type="continuationSeparator" w:id="0">
    <w:p w:rsidR="00F73F6C" w:rsidRDefault="00F73F6C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7"/>
      <w:docPartObj>
        <w:docPartGallery w:val="Page Numbers (Bottom of Page)"/>
        <w:docPartUnique/>
      </w:docPartObj>
    </w:sdtPr>
    <w:sdtEndPr/>
    <w:sdtContent>
      <w:p w:rsidR="00F73F6C" w:rsidRDefault="00F73F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F6C" w:rsidRDefault="00F73F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5"/>
      <w:docPartObj>
        <w:docPartGallery w:val="Page Numbers (Bottom of Page)"/>
        <w:docPartUnique/>
      </w:docPartObj>
    </w:sdtPr>
    <w:sdtEndPr/>
    <w:sdtContent>
      <w:p w:rsidR="00F73F6C" w:rsidRDefault="00F73F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F6C" w:rsidRDefault="00F73F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066"/>
      <w:docPartObj>
        <w:docPartGallery w:val="Page Numbers (Bottom of Page)"/>
        <w:docPartUnique/>
      </w:docPartObj>
    </w:sdtPr>
    <w:sdtEndPr/>
    <w:sdtContent>
      <w:p w:rsidR="00F73F6C" w:rsidRDefault="00F73F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F6C" w:rsidRDefault="00F73F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6C" w:rsidRDefault="00F73F6C" w:rsidP="00BA39CD">
      <w:pPr>
        <w:spacing w:after="0" w:line="240" w:lineRule="auto"/>
      </w:pPr>
      <w:r>
        <w:separator/>
      </w:r>
    </w:p>
  </w:footnote>
  <w:footnote w:type="continuationSeparator" w:id="0">
    <w:p w:rsidR="00F73F6C" w:rsidRDefault="00F73F6C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45FE8"/>
    <w:multiLevelType w:val="hybridMultilevel"/>
    <w:tmpl w:val="340CF9B0"/>
    <w:lvl w:ilvl="0" w:tplc="5D90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A2D9B"/>
    <w:multiLevelType w:val="hybridMultilevel"/>
    <w:tmpl w:val="CAF0080E"/>
    <w:lvl w:ilvl="0" w:tplc="AFEA55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6E06"/>
    <w:multiLevelType w:val="hybridMultilevel"/>
    <w:tmpl w:val="B18A8012"/>
    <w:lvl w:ilvl="0" w:tplc="C1FA304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"/>
  </w:num>
  <w:num w:numId="5">
    <w:abstractNumId w:val="21"/>
  </w:num>
  <w:num w:numId="6">
    <w:abstractNumId w:val="16"/>
  </w:num>
  <w:num w:numId="7">
    <w:abstractNumId w:val="15"/>
  </w:num>
  <w:num w:numId="8">
    <w:abstractNumId w:val="28"/>
  </w:num>
  <w:num w:numId="9">
    <w:abstractNumId w:val="7"/>
  </w:num>
  <w:num w:numId="10">
    <w:abstractNumId w:val="17"/>
  </w:num>
  <w:num w:numId="11">
    <w:abstractNumId w:val="8"/>
  </w:num>
  <w:num w:numId="12">
    <w:abstractNumId w:val="31"/>
  </w:num>
  <w:num w:numId="13">
    <w:abstractNumId w:val="22"/>
  </w:num>
  <w:num w:numId="14">
    <w:abstractNumId w:val="13"/>
  </w:num>
  <w:num w:numId="15">
    <w:abstractNumId w:val="0"/>
  </w:num>
  <w:num w:numId="16">
    <w:abstractNumId w:val="30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6"/>
  </w:num>
  <w:num w:numId="22">
    <w:abstractNumId w:val="27"/>
  </w:num>
  <w:num w:numId="23">
    <w:abstractNumId w:val="18"/>
  </w:num>
  <w:num w:numId="24">
    <w:abstractNumId w:val="4"/>
  </w:num>
  <w:num w:numId="25">
    <w:abstractNumId w:val="23"/>
  </w:num>
  <w:num w:numId="26">
    <w:abstractNumId w:val="5"/>
  </w:num>
  <w:num w:numId="27">
    <w:abstractNumId w:val="14"/>
  </w:num>
  <w:num w:numId="28">
    <w:abstractNumId w:val="20"/>
  </w:num>
  <w:num w:numId="29">
    <w:abstractNumId w:val="24"/>
  </w:num>
  <w:num w:numId="30">
    <w:abstractNumId w:val="12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22FEB"/>
    <w:rsid w:val="0002704B"/>
    <w:rsid w:val="00027351"/>
    <w:rsid w:val="00027422"/>
    <w:rsid w:val="000367E5"/>
    <w:rsid w:val="000416D1"/>
    <w:rsid w:val="00042AA5"/>
    <w:rsid w:val="00047E4F"/>
    <w:rsid w:val="000604A0"/>
    <w:rsid w:val="00070B0C"/>
    <w:rsid w:val="00071D9F"/>
    <w:rsid w:val="000727CB"/>
    <w:rsid w:val="00080769"/>
    <w:rsid w:val="000876C0"/>
    <w:rsid w:val="000903C7"/>
    <w:rsid w:val="00091547"/>
    <w:rsid w:val="000A5C37"/>
    <w:rsid w:val="000C02CB"/>
    <w:rsid w:val="000C6C28"/>
    <w:rsid w:val="000C6CCE"/>
    <w:rsid w:val="000D5603"/>
    <w:rsid w:val="000D5817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789B"/>
    <w:rsid w:val="001469EB"/>
    <w:rsid w:val="0015597D"/>
    <w:rsid w:val="00162942"/>
    <w:rsid w:val="00165461"/>
    <w:rsid w:val="00166BCA"/>
    <w:rsid w:val="00172F0C"/>
    <w:rsid w:val="001750E8"/>
    <w:rsid w:val="001813F0"/>
    <w:rsid w:val="00181D18"/>
    <w:rsid w:val="00184404"/>
    <w:rsid w:val="001850CC"/>
    <w:rsid w:val="001854BF"/>
    <w:rsid w:val="00185999"/>
    <w:rsid w:val="00186E12"/>
    <w:rsid w:val="001932EB"/>
    <w:rsid w:val="00193903"/>
    <w:rsid w:val="001958EE"/>
    <w:rsid w:val="001A289D"/>
    <w:rsid w:val="001A32AF"/>
    <w:rsid w:val="001A3625"/>
    <w:rsid w:val="001B0045"/>
    <w:rsid w:val="001B0CED"/>
    <w:rsid w:val="001C329D"/>
    <w:rsid w:val="001C6946"/>
    <w:rsid w:val="001C7467"/>
    <w:rsid w:val="001D0298"/>
    <w:rsid w:val="001D1F0B"/>
    <w:rsid w:val="001D2B6D"/>
    <w:rsid w:val="001D664F"/>
    <w:rsid w:val="001E2320"/>
    <w:rsid w:val="001E3748"/>
    <w:rsid w:val="001E6132"/>
    <w:rsid w:val="001E6D5E"/>
    <w:rsid w:val="001F3526"/>
    <w:rsid w:val="001F4D5C"/>
    <w:rsid w:val="00220A12"/>
    <w:rsid w:val="00221435"/>
    <w:rsid w:val="00223F86"/>
    <w:rsid w:val="002341BF"/>
    <w:rsid w:val="0023596B"/>
    <w:rsid w:val="00242057"/>
    <w:rsid w:val="00242624"/>
    <w:rsid w:val="00244230"/>
    <w:rsid w:val="00245C75"/>
    <w:rsid w:val="00247941"/>
    <w:rsid w:val="0025063E"/>
    <w:rsid w:val="00251121"/>
    <w:rsid w:val="00252BD0"/>
    <w:rsid w:val="00254520"/>
    <w:rsid w:val="00260B3E"/>
    <w:rsid w:val="002613E1"/>
    <w:rsid w:val="0026364F"/>
    <w:rsid w:val="0027188D"/>
    <w:rsid w:val="00280AE0"/>
    <w:rsid w:val="00282AFB"/>
    <w:rsid w:val="002843E0"/>
    <w:rsid w:val="002865BB"/>
    <w:rsid w:val="00287B9C"/>
    <w:rsid w:val="00290577"/>
    <w:rsid w:val="00292856"/>
    <w:rsid w:val="00296033"/>
    <w:rsid w:val="002A0A01"/>
    <w:rsid w:val="002A4131"/>
    <w:rsid w:val="002B105F"/>
    <w:rsid w:val="002B58F9"/>
    <w:rsid w:val="002C0C69"/>
    <w:rsid w:val="002C4429"/>
    <w:rsid w:val="002D1DFA"/>
    <w:rsid w:val="002D3C7D"/>
    <w:rsid w:val="002D5627"/>
    <w:rsid w:val="002E1C28"/>
    <w:rsid w:val="002E459B"/>
    <w:rsid w:val="002E4EF6"/>
    <w:rsid w:val="002E684E"/>
    <w:rsid w:val="002F649E"/>
    <w:rsid w:val="00302B59"/>
    <w:rsid w:val="00305C46"/>
    <w:rsid w:val="00314AB2"/>
    <w:rsid w:val="0032005B"/>
    <w:rsid w:val="003214E9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74"/>
    <w:rsid w:val="00377554"/>
    <w:rsid w:val="003905F0"/>
    <w:rsid w:val="00393D1F"/>
    <w:rsid w:val="003A200D"/>
    <w:rsid w:val="003A277B"/>
    <w:rsid w:val="003A4D75"/>
    <w:rsid w:val="003A4E0E"/>
    <w:rsid w:val="003C1BE0"/>
    <w:rsid w:val="003C2A77"/>
    <w:rsid w:val="003C7D77"/>
    <w:rsid w:val="003D0DD2"/>
    <w:rsid w:val="003D5F68"/>
    <w:rsid w:val="003D6F23"/>
    <w:rsid w:val="003E4521"/>
    <w:rsid w:val="003F4147"/>
    <w:rsid w:val="003F67FB"/>
    <w:rsid w:val="00403D18"/>
    <w:rsid w:val="00406473"/>
    <w:rsid w:val="004108A8"/>
    <w:rsid w:val="00410EF2"/>
    <w:rsid w:val="004130E5"/>
    <w:rsid w:val="004131A9"/>
    <w:rsid w:val="0042698A"/>
    <w:rsid w:val="00430BE2"/>
    <w:rsid w:val="004342B7"/>
    <w:rsid w:val="00443BFC"/>
    <w:rsid w:val="0044558B"/>
    <w:rsid w:val="004471A3"/>
    <w:rsid w:val="00452067"/>
    <w:rsid w:val="0045728C"/>
    <w:rsid w:val="00461EDA"/>
    <w:rsid w:val="004652CF"/>
    <w:rsid w:val="00466EB0"/>
    <w:rsid w:val="004713C1"/>
    <w:rsid w:val="00483DB2"/>
    <w:rsid w:val="00484704"/>
    <w:rsid w:val="004855EA"/>
    <w:rsid w:val="004922B8"/>
    <w:rsid w:val="00495819"/>
    <w:rsid w:val="0049594C"/>
    <w:rsid w:val="004A0406"/>
    <w:rsid w:val="004A21C6"/>
    <w:rsid w:val="004A4F18"/>
    <w:rsid w:val="004C4050"/>
    <w:rsid w:val="004C50FD"/>
    <w:rsid w:val="004E1D00"/>
    <w:rsid w:val="004E5CCB"/>
    <w:rsid w:val="004E60AB"/>
    <w:rsid w:val="004E755C"/>
    <w:rsid w:val="004F38BB"/>
    <w:rsid w:val="0050626A"/>
    <w:rsid w:val="00507EC7"/>
    <w:rsid w:val="005100EC"/>
    <w:rsid w:val="00520137"/>
    <w:rsid w:val="005224DF"/>
    <w:rsid w:val="00531CB0"/>
    <w:rsid w:val="00535CFF"/>
    <w:rsid w:val="00535DDC"/>
    <w:rsid w:val="00552D52"/>
    <w:rsid w:val="00562996"/>
    <w:rsid w:val="005640DA"/>
    <w:rsid w:val="005706B2"/>
    <w:rsid w:val="005773FE"/>
    <w:rsid w:val="00581DE9"/>
    <w:rsid w:val="0058545B"/>
    <w:rsid w:val="005870AB"/>
    <w:rsid w:val="0059027B"/>
    <w:rsid w:val="005A1DF6"/>
    <w:rsid w:val="005B6FBE"/>
    <w:rsid w:val="005C2175"/>
    <w:rsid w:val="005C537B"/>
    <w:rsid w:val="005D1653"/>
    <w:rsid w:val="005D4DA0"/>
    <w:rsid w:val="005F00B4"/>
    <w:rsid w:val="005F1C4D"/>
    <w:rsid w:val="005F613B"/>
    <w:rsid w:val="005F657A"/>
    <w:rsid w:val="00603060"/>
    <w:rsid w:val="00604114"/>
    <w:rsid w:val="00607EA4"/>
    <w:rsid w:val="00616DFC"/>
    <w:rsid w:val="00621A4E"/>
    <w:rsid w:val="00621B1C"/>
    <w:rsid w:val="00623B34"/>
    <w:rsid w:val="006379A0"/>
    <w:rsid w:val="006379DF"/>
    <w:rsid w:val="00641293"/>
    <w:rsid w:val="00642856"/>
    <w:rsid w:val="00646CAA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1B80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69B9"/>
    <w:rsid w:val="00712A27"/>
    <w:rsid w:val="0071358B"/>
    <w:rsid w:val="00720B64"/>
    <w:rsid w:val="00720D24"/>
    <w:rsid w:val="00720E1A"/>
    <w:rsid w:val="00722F40"/>
    <w:rsid w:val="0072356D"/>
    <w:rsid w:val="00724400"/>
    <w:rsid w:val="00725AF7"/>
    <w:rsid w:val="0073038F"/>
    <w:rsid w:val="007325E1"/>
    <w:rsid w:val="00733246"/>
    <w:rsid w:val="0073723B"/>
    <w:rsid w:val="00737CF7"/>
    <w:rsid w:val="00741051"/>
    <w:rsid w:val="0074532B"/>
    <w:rsid w:val="00762E81"/>
    <w:rsid w:val="00763CE9"/>
    <w:rsid w:val="00764748"/>
    <w:rsid w:val="00767912"/>
    <w:rsid w:val="00771444"/>
    <w:rsid w:val="00790A85"/>
    <w:rsid w:val="0079229E"/>
    <w:rsid w:val="00792689"/>
    <w:rsid w:val="0079301C"/>
    <w:rsid w:val="00793B63"/>
    <w:rsid w:val="00793DA2"/>
    <w:rsid w:val="007A36AB"/>
    <w:rsid w:val="007A62AC"/>
    <w:rsid w:val="007A7E98"/>
    <w:rsid w:val="007B4C76"/>
    <w:rsid w:val="007D1778"/>
    <w:rsid w:val="007D25FE"/>
    <w:rsid w:val="007D3050"/>
    <w:rsid w:val="007E0D2C"/>
    <w:rsid w:val="007E25C3"/>
    <w:rsid w:val="007E2F26"/>
    <w:rsid w:val="007F1DB2"/>
    <w:rsid w:val="007F618F"/>
    <w:rsid w:val="008039AD"/>
    <w:rsid w:val="00804BD8"/>
    <w:rsid w:val="008057DA"/>
    <w:rsid w:val="00807F02"/>
    <w:rsid w:val="00811683"/>
    <w:rsid w:val="00815778"/>
    <w:rsid w:val="00823E40"/>
    <w:rsid w:val="00830D5A"/>
    <w:rsid w:val="00834443"/>
    <w:rsid w:val="008429C3"/>
    <w:rsid w:val="00850056"/>
    <w:rsid w:val="00851517"/>
    <w:rsid w:val="00857EE8"/>
    <w:rsid w:val="00870240"/>
    <w:rsid w:val="00874631"/>
    <w:rsid w:val="00892725"/>
    <w:rsid w:val="00894C9F"/>
    <w:rsid w:val="00896823"/>
    <w:rsid w:val="00897F29"/>
    <w:rsid w:val="008A1F98"/>
    <w:rsid w:val="008B00B3"/>
    <w:rsid w:val="008B4727"/>
    <w:rsid w:val="008B5F64"/>
    <w:rsid w:val="008C165C"/>
    <w:rsid w:val="008C16F5"/>
    <w:rsid w:val="008C3B3B"/>
    <w:rsid w:val="008C63A9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009"/>
    <w:rsid w:val="00957AD5"/>
    <w:rsid w:val="00964159"/>
    <w:rsid w:val="00964A9F"/>
    <w:rsid w:val="00972364"/>
    <w:rsid w:val="009779ED"/>
    <w:rsid w:val="009808AE"/>
    <w:rsid w:val="00981176"/>
    <w:rsid w:val="00983A17"/>
    <w:rsid w:val="00993739"/>
    <w:rsid w:val="00997720"/>
    <w:rsid w:val="009A2B05"/>
    <w:rsid w:val="009A3F64"/>
    <w:rsid w:val="009C1042"/>
    <w:rsid w:val="009C79EE"/>
    <w:rsid w:val="009D2759"/>
    <w:rsid w:val="009D2B88"/>
    <w:rsid w:val="009E3343"/>
    <w:rsid w:val="009E4FA7"/>
    <w:rsid w:val="009E73DE"/>
    <w:rsid w:val="009F7026"/>
    <w:rsid w:val="00A06CE0"/>
    <w:rsid w:val="00A13DCE"/>
    <w:rsid w:val="00A15C79"/>
    <w:rsid w:val="00A15C8C"/>
    <w:rsid w:val="00A16815"/>
    <w:rsid w:val="00A302D3"/>
    <w:rsid w:val="00A30746"/>
    <w:rsid w:val="00A40352"/>
    <w:rsid w:val="00A44C34"/>
    <w:rsid w:val="00A53538"/>
    <w:rsid w:val="00A54FDF"/>
    <w:rsid w:val="00A5506B"/>
    <w:rsid w:val="00A55CB7"/>
    <w:rsid w:val="00A61AE2"/>
    <w:rsid w:val="00A65C93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567"/>
    <w:rsid w:val="00AA0CCD"/>
    <w:rsid w:val="00AA6935"/>
    <w:rsid w:val="00AB2253"/>
    <w:rsid w:val="00AC16C6"/>
    <w:rsid w:val="00AC3E58"/>
    <w:rsid w:val="00AC711E"/>
    <w:rsid w:val="00AD46E4"/>
    <w:rsid w:val="00AD5A19"/>
    <w:rsid w:val="00AD5E26"/>
    <w:rsid w:val="00AE5222"/>
    <w:rsid w:val="00AF1FD9"/>
    <w:rsid w:val="00B01B2C"/>
    <w:rsid w:val="00B03633"/>
    <w:rsid w:val="00B03FA4"/>
    <w:rsid w:val="00B114B9"/>
    <w:rsid w:val="00B1292D"/>
    <w:rsid w:val="00B12DCE"/>
    <w:rsid w:val="00B2008D"/>
    <w:rsid w:val="00B20C6B"/>
    <w:rsid w:val="00B25CBA"/>
    <w:rsid w:val="00B356D8"/>
    <w:rsid w:val="00B372A2"/>
    <w:rsid w:val="00B435F9"/>
    <w:rsid w:val="00B43B34"/>
    <w:rsid w:val="00B47EBB"/>
    <w:rsid w:val="00B522F0"/>
    <w:rsid w:val="00B554CB"/>
    <w:rsid w:val="00B55E88"/>
    <w:rsid w:val="00B569CF"/>
    <w:rsid w:val="00B57EB2"/>
    <w:rsid w:val="00B61EF5"/>
    <w:rsid w:val="00B674FE"/>
    <w:rsid w:val="00B702FE"/>
    <w:rsid w:val="00B7087E"/>
    <w:rsid w:val="00B776A1"/>
    <w:rsid w:val="00B77963"/>
    <w:rsid w:val="00B779DE"/>
    <w:rsid w:val="00B80E61"/>
    <w:rsid w:val="00B83CA0"/>
    <w:rsid w:val="00B91B77"/>
    <w:rsid w:val="00B921CC"/>
    <w:rsid w:val="00B929F8"/>
    <w:rsid w:val="00B932FA"/>
    <w:rsid w:val="00B94AAB"/>
    <w:rsid w:val="00B9610F"/>
    <w:rsid w:val="00BA32B6"/>
    <w:rsid w:val="00BA3727"/>
    <w:rsid w:val="00BA39CD"/>
    <w:rsid w:val="00BA6DE1"/>
    <w:rsid w:val="00BB1FCC"/>
    <w:rsid w:val="00BB2128"/>
    <w:rsid w:val="00BB5D23"/>
    <w:rsid w:val="00BB7676"/>
    <w:rsid w:val="00BC073A"/>
    <w:rsid w:val="00BC13F0"/>
    <w:rsid w:val="00BC2B30"/>
    <w:rsid w:val="00BC3052"/>
    <w:rsid w:val="00BC5380"/>
    <w:rsid w:val="00BC6041"/>
    <w:rsid w:val="00BD0833"/>
    <w:rsid w:val="00BD34E1"/>
    <w:rsid w:val="00BD4311"/>
    <w:rsid w:val="00BD4EB4"/>
    <w:rsid w:val="00BD7249"/>
    <w:rsid w:val="00BD7719"/>
    <w:rsid w:val="00BE26F8"/>
    <w:rsid w:val="00BE319C"/>
    <w:rsid w:val="00BE71D4"/>
    <w:rsid w:val="00BF6D1F"/>
    <w:rsid w:val="00C038F0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68F2"/>
    <w:rsid w:val="00C33F21"/>
    <w:rsid w:val="00C37AB9"/>
    <w:rsid w:val="00C40C7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41F4"/>
    <w:rsid w:val="00C86476"/>
    <w:rsid w:val="00CA01FE"/>
    <w:rsid w:val="00CA0723"/>
    <w:rsid w:val="00CA18F4"/>
    <w:rsid w:val="00CA29AE"/>
    <w:rsid w:val="00CA35AE"/>
    <w:rsid w:val="00CA3CD1"/>
    <w:rsid w:val="00CA5B23"/>
    <w:rsid w:val="00CA6057"/>
    <w:rsid w:val="00CB20E7"/>
    <w:rsid w:val="00CB29CE"/>
    <w:rsid w:val="00CB2E41"/>
    <w:rsid w:val="00CC0DD5"/>
    <w:rsid w:val="00CD3BAA"/>
    <w:rsid w:val="00CD6F4D"/>
    <w:rsid w:val="00CD6FED"/>
    <w:rsid w:val="00CE01B6"/>
    <w:rsid w:val="00CE251F"/>
    <w:rsid w:val="00CE5B3B"/>
    <w:rsid w:val="00CF0B07"/>
    <w:rsid w:val="00CF4586"/>
    <w:rsid w:val="00D02DC9"/>
    <w:rsid w:val="00D033A2"/>
    <w:rsid w:val="00D0758B"/>
    <w:rsid w:val="00D11045"/>
    <w:rsid w:val="00D11076"/>
    <w:rsid w:val="00D16544"/>
    <w:rsid w:val="00D210FB"/>
    <w:rsid w:val="00D23187"/>
    <w:rsid w:val="00D25464"/>
    <w:rsid w:val="00D30D45"/>
    <w:rsid w:val="00D3443C"/>
    <w:rsid w:val="00D34499"/>
    <w:rsid w:val="00D369DD"/>
    <w:rsid w:val="00D46BF2"/>
    <w:rsid w:val="00D50427"/>
    <w:rsid w:val="00D50601"/>
    <w:rsid w:val="00D52143"/>
    <w:rsid w:val="00D54078"/>
    <w:rsid w:val="00D55208"/>
    <w:rsid w:val="00D57C0E"/>
    <w:rsid w:val="00D57D4C"/>
    <w:rsid w:val="00D57DBB"/>
    <w:rsid w:val="00D6179E"/>
    <w:rsid w:val="00D66EA7"/>
    <w:rsid w:val="00D717BC"/>
    <w:rsid w:val="00D71F05"/>
    <w:rsid w:val="00D730D4"/>
    <w:rsid w:val="00D73721"/>
    <w:rsid w:val="00D74287"/>
    <w:rsid w:val="00D76AEA"/>
    <w:rsid w:val="00D83D4B"/>
    <w:rsid w:val="00D9501E"/>
    <w:rsid w:val="00DB1198"/>
    <w:rsid w:val="00DB1EC6"/>
    <w:rsid w:val="00DB4B29"/>
    <w:rsid w:val="00DC272D"/>
    <w:rsid w:val="00DC37B6"/>
    <w:rsid w:val="00DD02B5"/>
    <w:rsid w:val="00DD6103"/>
    <w:rsid w:val="00DE7747"/>
    <w:rsid w:val="00DF01BB"/>
    <w:rsid w:val="00DF4CF5"/>
    <w:rsid w:val="00E023BF"/>
    <w:rsid w:val="00E215F4"/>
    <w:rsid w:val="00E24C5A"/>
    <w:rsid w:val="00E25FB5"/>
    <w:rsid w:val="00E3077B"/>
    <w:rsid w:val="00E31531"/>
    <w:rsid w:val="00E31979"/>
    <w:rsid w:val="00E40CF0"/>
    <w:rsid w:val="00E429A4"/>
    <w:rsid w:val="00E4378F"/>
    <w:rsid w:val="00E620E0"/>
    <w:rsid w:val="00E65873"/>
    <w:rsid w:val="00E65897"/>
    <w:rsid w:val="00E66438"/>
    <w:rsid w:val="00E67A67"/>
    <w:rsid w:val="00E73360"/>
    <w:rsid w:val="00E76D3A"/>
    <w:rsid w:val="00E76F82"/>
    <w:rsid w:val="00E901E4"/>
    <w:rsid w:val="00E92771"/>
    <w:rsid w:val="00E96507"/>
    <w:rsid w:val="00EA0377"/>
    <w:rsid w:val="00EA5225"/>
    <w:rsid w:val="00EA5AF5"/>
    <w:rsid w:val="00EA6582"/>
    <w:rsid w:val="00EA7C45"/>
    <w:rsid w:val="00EB0F58"/>
    <w:rsid w:val="00EC619F"/>
    <w:rsid w:val="00EC7884"/>
    <w:rsid w:val="00ED0187"/>
    <w:rsid w:val="00ED5BC3"/>
    <w:rsid w:val="00ED6B2F"/>
    <w:rsid w:val="00ED7155"/>
    <w:rsid w:val="00EE03AA"/>
    <w:rsid w:val="00EE05AD"/>
    <w:rsid w:val="00EE2658"/>
    <w:rsid w:val="00EE32BF"/>
    <w:rsid w:val="00EF0FFD"/>
    <w:rsid w:val="00F13F70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50082"/>
    <w:rsid w:val="00F50ED8"/>
    <w:rsid w:val="00F51BBA"/>
    <w:rsid w:val="00F54BFE"/>
    <w:rsid w:val="00F56BB3"/>
    <w:rsid w:val="00F67675"/>
    <w:rsid w:val="00F72433"/>
    <w:rsid w:val="00F73F6C"/>
    <w:rsid w:val="00F77AEB"/>
    <w:rsid w:val="00F85DFB"/>
    <w:rsid w:val="00F863F9"/>
    <w:rsid w:val="00F915CF"/>
    <w:rsid w:val="00F96647"/>
    <w:rsid w:val="00F97B05"/>
    <w:rsid w:val="00FB155B"/>
    <w:rsid w:val="00FB7988"/>
    <w:rsid w:val="00FC2784"/>
    <w:rsid w:val="00FC3F60"/>
    <w:rsid w:val="00FC4518"/>
    <w:rsid w:val="00FD7980"/>
    <w:rsid w:val="00FE0F2A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Amount of the equity capital</a:t>
            </a:r>
            <a:r>
              <a:rPr lang="ru-RU" sz="1400"/>
              <a:t>, </a:t>
            </a:r>
            <a:r>
              <a:rPr lang="en-US" sz="1400"/>
              <a:t>KZT billion</a:t>
            </a:r>
            <a:endParaRPr lang="ru-RU" sz="1400"/>
          </a:p>
        </c:rich>
      </c:tx>
      <c:layout>
        <c:manualLayout>
          <c:xMode val="edge"/>
          <c:yMode val="edge"/>
          <c:x val="0.2188867994765944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88"/>
          <c:y val="8.8737630384329955E-2"/>
          <c:w val="0.81099822492525953"/>
          <c:h val="0.80831894256535652"/>
        </c:manualLayout>
      </c:layout>
      <c:lineChart>
        <c:grouping val="standard"/>
        <c:varyColors val="0"/>
        <c:ser>
          <c:idx val="0"/>
          <c:order val="0"/>
          <c:tx>
            <c:strRef>
              <c:f>Капит!$B$2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Капит!$F$1:$L$1</c:f>
              <c:strCache>
                <c:ptCount val="7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
</c:v>
                </c:pt>
              </c:strCache>
            </c:strRef>
          </c:cat>
          <c:val>
            <c:numRef>
              <c:f>Капит!$F$3:$L$3</c:f>
              <c:numCache>
                <c:formatCode>#,##0</c:formatCode>
                <c:ptCount val="7"/>
                <c:pt idx="0">
                  <c:v>5.6198289999999975</c:v>
                </c:pt>
                <c:pt idx="1">
                  <c:v>214.176219</c:v>
                </c:pt>
                <c:pt idx="2">
                  <c:v>313.4824119999999</c:v>
                </c:pt>
                <c:pt idx="3">
                  <c:v>503.60678200000001</c:v>
                </c:pt>
                <c:pt idx="4">
                  <c:v>550.15662299999963</c:v>
                </c:pt>
                <c:pt idx="5">
                  <c:v>590.84847000000002</c:v>
                </c:pt>
                <c:pt idx="6">
                  <c:v>628.58199999999999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460096"/>
        <c:axId val="254614144"/>
      </c:lineChart>
      <c:catAx>
        <c:axId val="235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54614144"/>
        <c:crosses val="autoZero"/>
        <c:auto val="1"/>
        <c:lblAlgn val="ctr"/>
        <c:lblOffset val="100"/>
        <c:noMultiLvlLbl val="0"/>
      </c:catAx>
      <c:valAx>
        <c:axId val="2546141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5460096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7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03238519109852E-2"/>
                  <c:y val="8.4254857010551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34585821204012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90851289584054E-2"/>
                  <c:y val="-1.70341490879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3751297361255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110610287749562E-2"/>
                  <c:y val="-1.586644534155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'ДохРасх (2)'!$B$4:$H$4</c:f>
              <c:strCache>
                <c:ptCount val="7"/>
                <c:pt idx="0">
                  <c:v>Факт
2016 г.</c:v>
                </c:pt>
                <c:pt idx="1">
                  <c:v>Факт
2017 г.</c:v>
                </c:pt>
                <c:pt idx="2">
                  <c:v>Факт
2018 г.</c:v>
                </c:pt>
                <c:pt idx="3">
                  <c:v>Прогноз
2019 г.</c:v>
                </c:pt>
                <c:pt idx="4">
                  <c:v>Прогноз
2020 г.</c:v>
                </c:pt>
                <c:pt idx="5">
                  <c:v>Прогноз
2021 г.</c:v>
                </c:pt>
                <c:pt idx="6">
                  <c:v>Прогноз
2022 г.</c:v>
                </c:pt>
              </c:strCache>
            </c:strRef>
          </c:cat>
          <c:val>
            <c:numRef>
              <c:f>'ДохРасх (2)'!$B$5:$H$5</c:f>
              <c:numCache>
                <c:formatCode>#,##0</c:formatCode>
                <c:ptCount val="7"/>
                <c:pt idx="0">
                  <c:v>168.92554000000001</c:v>
                </c:pt>
                <c:pt idx="1">
                  <c:v>210.33532600000007</c:v>
                </c:pt>
                <c:pt idx="2">
                  <c:v>273.1567189999999</c:v>
                </c:pt>
                <c:pt idx="3">
                  <c:v>326.3382108271619</c:v>
                </c:pt>
                <c:pt idx="4">
                  <c:v>11.982773746535102</c:v>
                </c:pt>
                <c:pt idx="5">
                  <c:v>63.906203310491634</c:v>
                </c:pt>
                <c:pt idx="6">
                  <c:v>128.43169991706418</c:v>
                </c:pt>
              </c:numCache>
            </c:numRef>
          </c:val>
        </c:ser>
        <c:ser>
          <c:idx val="1"/>
          <c:order val="1"/>
          <c:tx>
            <c:strRef>
              <c:f>'ДохРасх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52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62694604188306E-2"/>
                  <c:y val="2.106371425263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047020953141234E-2"/>
                  <c:y val="2.5276457103165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693151628695997E-2"/>
                  <c:y val="5.197197844162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174204744317407E-2"/>
                  <c:y val="-2.2437902231047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594560850784733E-3"/>
                  <c:y val="1.263822855158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390803387172621E-2"/>
                  <c:y val="1.6850971402110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'ДохРасх (2)'!$B$4:$H$4</c:f>
              <c:strCache>
                <c:ptCount val="7"/>
                <c:pt idx="0">
                  <c:v>Факт
2016 г.</c:v>
                </c:pt>
                <c:pt idx="1">
                  <c:v>Факт
2017 г.</c:v>
                </c:pt>
                <c:pt idx="2">
                  <c:v>Факт
2018 г.</c:v>
                </c:pt>
                <c:pt idx="3">
                  <c:v>Прогноз
2019 г.</c:v>
                </c:pt>
                <c:pt idx="4">
                  <c:v>Прогноз
2020 г.</c:v>
                </c:pt>
                <c:pt idx="5">
                  <c:v>Прогноз
2021 г.</c:v>
                </c:pt>
                <c:pt idx="6">
                  <c:v>Прогноз
2022 г.</c:v>
                </c:pt>
              </c:strCache>
            </c:strRef>
          </c:cat>
          <c:val>
            <c:numRef>
              <c:f>'ДохРасх (2)'!$B$6:$H$6</c:f>
              <c:numCache>
                <c:formatCode>#,##0</c:formatCode>
                <c:ptCount val="7"/>
                <c:pt idx="0">
                  <c:v>168.73670299999998</c:v>
                </c:pt>
                <c:pt idx="1">
                  <c:v>211.83406600000001</c:v>
                </c:pt>
                <c:pt idx="2">
                  <c:v>281.15766200000013</c:v>
                </c:pt>
                <c:pt idx="3">
                  <c:v>329.08783228463528</c:v>
                </c:pt>
                <c:pt idx="4">
                  <c:v>21.868959841640116</c:v>
                </c:pt>
                <c:pt idx="5">
                  <c:v>58.724439174282004</c:v>
                </c:pt>
                <c:pt idx="6">
                  <c:v>93.19955558877956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327040"/>
        <c:axId val="38328576"/>
        <c:axId val="0"/>
      </c:bar3DChart>
      <c:catAx>
        <c:axId val="3832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8328576"/>
        <c:crosses val="autoZero"/>
        <c:auto val="1"/>
        <c:lblAlgn val="ctr"/>
        <c:lblOffset val="100"/>
        <c:noMultiLvlLbl val="0"/>
      </c:catAx>
      <c:valAx>
        <c:axId val="3832857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38327040"/>
        <c:crosses val="autoZero"/>
        <c:crossBetween val="between"/>
      </c:valAx>
    </c:plotArea>
    <c:legend>
      <c:legendPos val="b"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5A5C-FA24-4A8E-97E7-54FFA7EB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Пользователь Windows</cp:lastModifiedBy>
  <cp:revision>5</cp:revision>
  <cp:lastPrinted>2019-03-12T11:06:00Z</cp:lastPrinted>
  <dcterms:created xsi:type="dcterms:W3CDTF">2020-04-01T06:16:00Z</dcterms:created>
  <dcterms:modified xsi:type="dcterms:W3CDTF">2020-04-01T07:06:00Z</dcterms:modified>
</cp:coreProperties>
</file>