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5E" w:rsidRPr="00A44A5E" w:rsidRDefault="00A44A5E" w:rsidP="00A44A5E">
      <w:pPr>
        <w:jc w:val="both"/>
        <w:rPr>
          <w:b/>
          <w:bCs/>
        </w:rPr>
      </w:pPr>
      <w:r w:rsidRPr="00A44A5E">
        <w:rPr>
          <w:b/>
          <w:bCs/>
        </w:rPr>
        <w:t>Модель кадровой политики</w:t>
      </w:r>
    </w:p>
    <w:p w:rsidR="00A44A5E" w:rsidRDefault="00A44A5E" w:rsidP="00A44A5E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BE7486">
        <w:rPr>
          <w:rFonts w:ascii="Times New Roman" w:hAnsi="Times New Roman" w:cs="Times New Roman"/>
        </w:rPr>
        <w:t xml:space="preserve">Кадровая политика </w:t>
      </w:r>
      <w:r w:rsidRPr="0022643D">
        <w:rPr>
          <w:rFonts w:ascii="Times New Roman" w:hAnsi="Times New Roman" w:cs="Times New Roman"/>
        </w:rPr>
        <w:t xml:space="preserve">АО «НГК «Тау-Кен </w:t>
      </w:r>
      <w:proofErr w:type="spellStart"/>
      <w:r w:rsidRPr="0022643D">
        <w:rPr>
          <w:rFonts w:ascii="Times New Roman" w:hAnsi="Times New Roman" w:cs="Times New Roman"/>
        </w:rPr>
        <w:t>Самрук</w:t>
      </w:r>
      <w:proofErr w:type="spellEnd"/>
      <w:r w:rsidRPr="002264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 Общество) </w:t>
      </w:r>
      <w:r w:rsidRPr="00BE7486">
        <w:rPr>
          <w:rFonts w:ascii="Times New Roman" w:hAnsi="Times New Roman" w:cs="Times New Roman"/>
        </w:rPr>
        <w:t>на 2018-2028 годы (далее – Кадровая политика) определяет систему принципов, ключевых направлений, подходов и методов управления человеческими ресурсами, направленных на реализацию Стратегии развития О</w:t>
      </w:r>
      <w:r>
        <w:rPr>
          <w:rFonts w:ascii="Times New Roman" w:hAnsi="Times New Roman" w:cs="Times New Roman"/>
        </w:rPr>
        <w:t>бщества на долгосрочный период, которая была актуализирована и приведена в соответствие со стратегическими целями АО «</w:t>
      </w:r>
      <w:proofErr w:type="spellStart"/>
      <w:r>
        <w:rPr>
          <w:rFonts w:ascii="Times New Roman" w:hAnsi="Times New Roman" w:cs="Times New Roman"/>
        </w:rPr>
        <w:t>Самрук-</w:t>
      </w:r>
      <w:r w:rsidRPr="00BE7486">
        <w:rPr>
          <w:rFonts w:ascii="Times New Roman" w:hAnsi="Times New Roman" w:cs="Times New Roman"/>
        </w:rPr>
        <w:t>Қазына</w:t>
      </w:r>
      <w:proofErr w:type="spellEnd"/>
      <w:r>
        <w:rPr>
          <w:rFonts w:ascii="Times New Roman" w:hAnsi="Times New Roman" w:cs="Times New Roman"/>
        </w:rPr>
        <w:t>».</w:t>
      </w:r>
    </w:p>
    <w:p w:rsidR="00A44A5E" w:rsidRDefault="00A44A5E" w:rsidP="00A44A5E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2643D">
        <w:rPr>
          <w:rFonts w:ascii="Times New Roman" w:hAnsi="Times New Roman" w:cs="Times New Roman"/>
        </w:rPr>
        <w:t>Основным стратегическим капиталом и главной ценностью</w:t>
      </w:r>
      <w:r>
        <w:rPr>
          <w:rFonts w:ascii="Times New Roman" w:hAnsi="Times New Roman" w:cs="Times New Roman"/>
        </w:rPr>
        <w:t xml:space="preserve"> Кадровой политики </w:t>
      </w:r>
      <w:r w:rsidRPr="0022643D">
        <w:rPr>
          <w:rFonts w:ascii="Times New Roman" w:hAnsi="Times New Roman" w:cs="Times New Roman"/>
        </w:rPr>
        <w:t xml:space="preserve">является его </w:t>
      </w:r>
      <w:r>
        <w:rPr>
          <w:rFonts w:ascii="Times New Roman" w:hAnsi="Times New Roman" w:cs="Times New Roman"/>
        </w:rPr>
        <w:t xml:space="preserve">человеческий </w:t>
      </w:r>
      <w:r w:rsidRPr="0022643D">
        <w:rPr>
          <w:rFonts w:ascii="Times New Roman" w:hAnsi="Times New Roman" w:cs="Times New Roman"/>
        </w:rPr>
        <w:t>ресурс, эффективная работа которого позволит успешно решать поставленные с</w:t>
      </w:r>
      <w:r>
        <w:rPr>
          <w:rFonts w:ascii="Times New Roman" w:hAnsi="Times New Roman" w:cs="Times New Roman"/>
        </w:rPr>
        <w:t xml:space="preserve">тратегические </w:t>
      </w:r>
      <w:r w:rsidRPr="0022643D">
        <w:rPr>
          <w:rFonts w:ascii="Times New Roman" w:hAnsi="Times New Roman" w:cs="Times New Roman"/>
        </w:rPr>
        <w:t>цел</w:t>
      </w:r>
      <w:r>
        <w:rPr>
          <w:rFonts w:ascii="Times New Roman" w:hAnsi="Times New Roman" w:cs="Times New Roman"/>
        </w:rPr>
        <w:t xml:space="preserve">и и задачи </w:t>
      </w:r>
      <w:r w:rsidRPr="0022643D">
        <w:rPr>
          <w:rFonts w:ascii="Times New Roman" w:hAnsi="Times New Roman" w:cs="Times New Roman"/>
        </w:rPr>
        <w:t>Обществ</w:t>
      </w:r>
      <w:r>
        <w:rPr>
          <w:rFonts w:ascii="Times New Roman" w:hAnsi="Times New Roman" w:cs="Times New Roman"/>
        </w:rPr>
        <w:t>а.</w:t>
      </w:r>
    </w:p>
    <w:p w:rsidR="00A44A5E" w:rsidRPr="0022643D" w:rsidRDefault="00A44A5E" w:rsidP="00A44A5E">
      <w:pPr>
        <w:spacing w:before="121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b/>
          <w:sz w:val="28"/>
          <w:szCs w:val="28"/>
        </w:rPr>
        <w:t xml:space="preserve">Целями Кадровой политики </w:t>
      </w:r>
      <w:r w:rsidRPr="0022643D">
        <w:rPr>
          <w:rFonts w:ascii="Times New Roman" w:hAnsi="Times New Roman" w:cs="Times New Roman"/>
          <w:sz w:val="28"/>
          <w:szCs w:val="28"/>
        </w:rPr>
        <w:t>являются:</w:t>
      </w:r>
    </w:p>
    <w:p w:rsidR="00A44A5E" w:rsidRPr="0022643D" w:rsidRDefault="00A44A5E" w:rsidP="00A44A5E">
      <w:pPr>
        <w:tabs>
          <w:tab w:val="left" w:pos="14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 xml:space="preserve">1) обеспечение успеха инвестиций Общества путем создания и поддержки развития человеческих ресурсов и талантов для эффективной конкуренции и обеспечения способности Общества адаптироваться и реагировать на изменения глобального, </w:t>
      </w:r>
      <w:proofErr w:type="spellStart"/>
      <w:r w:rsidRPr="0022643D">
        <w:rPr>
          <w:rFonts w:ascii="Times New Roman" w:hAnsi="Times New Roman" w:cs="Times New Roman"/>
          <w:sz w:val="28"/>
          <w:szCs w:val="28"/>
        </w:rPr>
        <w:t>высококонкурентного</w:t>
      </w:r>
      <w:proofErr w:type="spellEnd"/>
      <w:r w:rsidRPr="0022643D">
        <w:rPr>
          <w:rFonts w:ascii="Times New Roman" w:hAnsi="Times New Roman" w:cs="Times New Roman"/>
          <w:sz w:val="28"/>
          <w:szCs w:val="28"/>
        </w:rPr>
        <w:t xml:space="preserve"> и постоянно развивающегося</w:t>
      </w:r>
      <w:r w:rsidRPr="002264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>рынка;</w:t>
      </w:r>
    </w:p>
    <w:p w:rsidR="00A44A5E" w:rsidRPr="0022643D" w:rsidRDefault="00A44A5E" w:rsidP="00A44A5E">
      <w:pPr>
        <w:tabs>
          <w:tab w:val="left" w:pos="13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>2) планирование человеческих ресурсов через оценку потенциала персонала, прогнозирование будущих потребностей, выявление пробелов в необходимых компетенциях и интеграцию со стратегическими целями Общества, плана по привлечению, удержанию, развитию и мотивации профессиональных и высокоэффективных работников с необходимыми компетенциями;</w:t>
      </w:r>
    </w:p>
    <w:p w:rsidR="00A44A5E" w:rsidRPr="0022643D" w:rsidRDefault="00A44A5E" w:rsidP="00A44A5E">
      <w:pPr>
        <w:tabs>
          <w:tab w:val="left" w:pos="13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>3) создание рабочей атмосферы в коллективе, в котором работники будут максимально вовлечены, высоко продуктивны, мотивированы и лояльны по отношению к</w:t>
      </w:r>
      <w:r w:rsidRPr="002264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>Обществу;</w:t>
      </w:r>
    </w:p>
    <w:p w:rsidR="00A44A5E" w:rsidRDefault="00A44A5E" w:rsidP="00A44A5E">
      <w:pPr>
        <w:tabs>
          <w:tab w:val="left" w:pos="13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>4) развитие корпоративной культуры, ориентированной на меритократию, внедрение новых моделей поведения для достижения высокой производительности</w:t>
      </w:r>
      <w:r w:rsidRPr="0022643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>труда, «коммерческого мышления» и готовности к изменениям.</w:t>
      </w:r>
    </w:p>
    <w:p w:rsidR="00A44A5E" w:rsidRPr="0022643D" w:rsidRDefault="00A44A5E" w:rsidP="00A44A5E">
      <w:pPr>
        <w:pStyle w:val="1"/>
        <w:spacing w:before="217" w:line="322" w:lineRule="exact"/>
        <w:ind w:left="0" w:firstLine="709"/>
        <w:rPr>
          <w:rFonts w:ascii="Times New Roman" w:hAnsi="Times New Roman" w:cs="Times New Roman"/>
        </w:rPr>
      </w:pPr>
      <w:r w:rsidRPr="0022643D">
        <w:rPr>
          <w:rFonts w:ascii="Times New Roman" w:hAnsi="Times New Roman" w:cs="Times New Roman"/>
        </w:rPr>
        <w:t xml:space="preserve"> </w:t>
      </w:r>
      <w:r w:rsidRPr="0022643D">
        <w:rPr>
          <w:rFonts w:ascii="Times New Roman" w:hAnsi="Times New Roman" w:cs="Times New Roman"/>
          <w:bCs w:val="0"/>
        </w:rPr>
        <w:t>Основные</w:t>
      </w:r>
      <w:r w:rsidRPr="0022643D">
        <w:rPr>
          <w:rFonts w:ascii="Times New Roman" w:hAnsi="Times New Roman" w:cs="Times New Roman"/>
        </w:rPr>
        <w:t xml:space="preserve"> принципы Кадровой политики Общества </w:t>
      </w:r>
    </w:p>
    <w:p w:rsidR="00A44A5E" w:rsidRPr="0022643D" w:rsidRDefault="00A44A5E" w:rsidP="00A44A5E">
      <w:pPr>
        <w:pStyle w:val="a6"/>
        <w:numPr>
          <w:ilvl w:val="0"/>
          <w:numId w:val="4"/>
        </w:numPr>
        <w:tabs>
          <w:tab w:val="left" w:pos="993"/>
          <w:tab w:val="left" w:pos="1698"/>
        </w:tabs>
        <w:spacing w:before="12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643D">
        <w:rPr>
          <w:rFonts w:ascii="Times New Roman" w:hAnsi="Times New Roman" w:cs="Times New Roman"/>
          <w:i/>
          <w:sz w:val="28"/>
          <w:szCs w:val="28"/>
        </w:rPr>
        <w:t>Проактивность</w:t>
      </w:r>
      <w:proofErr w:type="spellEnd"/>
      <w:r w:rsidRPr="00226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 xml:space="preserve">- способность прогнозировать и планировать ситуацию с кадрами на кратко-, средне - и долгосрочный периоды с учетом этапов реализации Стратегии развития Общества, осуществлять оценку и </w:t>
      </w:r>
      <w:proofErr w:type="spellStart"/>
      <w:r w:rsidRPr="0022643D">
        <w:rPr>
          <w:rFonts w:ascii="Times New Roman" w:hAnsi="Times New Roman" w:cs="Times New Roman"/>
          <w:sz w:val="28"/>
          <w:szCs w:val="28"/>
        </w:rPr>
        <w:t>митигацию</w:t>
      </w:r>
      <w:proofErr w:type="spellEnd"/>
      <w:r w:rsidRPr="0022643D">
        <w:rPr>
          <w:rFonts w:ascii="Times New Roman" w:hAnsi="Times New Roman" w:cs="Times New Roman"/>
          <w:sz w:val="28"/>
          <w:szCs w:val="28"/>
        </w:rPr>
        <w:t xml:space="preserve"> (снижение) HR-рисков (профилактика возможных, минимизация негативных последствий). Руководители, ответственные за управление человеческими ресурсами должны постоянно участвовать в стратегических обсуждениях пути развития компании для своевременного определения и реагирования на потребности бизнеса в необходимых компетенциях и развитии персонала.</w:t>
      </w:r>
    </w:p>
    <w:p w:rsidR="00A44A5E" w:rsidRPr="0022643D" w:rsidRDefault="00A44A5E" w:rsidP="00A44A5E">
      <w:pPr>
        <w:pStyle w:val="a6"/>
        <w:numPr>
          <w:ilvl w:val="0"/>
          <w:numId w:val="4"/>
        </w:numPr>
        <w:tabs>
          <w:tab w:val="left" w:pos="993"/>
          <w:tab w:val="left" w:pos="1418"/>
        </w:tabs>
        <w:spacing w:before="11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71CD">
        <w:rPr>
          <w:rFonts w:ascii="Times New Roman" w:hAnsi="Times New Roman" w:cs="Times New Roman"/>
          <w:i/>
          <w:sz w:val="28"/>
          <w:szCs w:val="28"/>
        </w:rPr>
        <w:lastRenderedPageBreak/>
        <w:t>Прозрачность и открытость</w:t>
      </w:r>
      <w:r w:rsidRPr="0022643D">
        <w:rPr>
          <w:rFonts w:ascii="Times New Roman" w:hAnsi="Times New Roman" w:cs="Times New Roman"/>
          <w:sz w:val="28"/>
          <w:szCs w:val="28"/>
        </w:rPr>
        <w:t xml:space="preserve"> на основе принципов меритократии будет достигаться через:</w:t>
      </w:r>
    </w:p>
    <w:p w:rsidR="00A44A5E" w:rsidRPr="0022643D" w:rsidRDefault="00A44A5E" w:rsidP="00A44A5E">
      <w:pPr>
        <w:pStyle w:val="a6"/>
        <w:numPr>
          <w:ilvl w:val="0"/>
          <w:numId w:val="3"/>
        </w:numPr>
        <w:tabs>
          <w:tab w:val="left" w:pos="1134"/>
          <w:tab w:val="left" w:pos="169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>прозрачные процедуры согласования/назначения на руководящие позиции исполнительного органа с вовлечением членов органов управления в процедуру поиска и отбора наиболее подходящих кандидатов, соответствующих требованиям и</w:t>
      </w:r>
      <w:r w:rsidRPr="002264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>компетенциям;</w:t>
      </w:r>
    </w:p>
    <w:p w:rsidR="00A44A5E" w:rsidRPr="0022643D" w:rsidRDefault="00A44A5E" w:rsidP="00A44A5E">
      <w:pPr>
        <w:pStyle w:val="a6"/>
        <w:numPr>
          <w:ilvl w:val="0"/>
          <w:numId w:val="3"/>
        </w:numPr>
        <w:tabs>
          <w:tab w:val="left" w:pos="1134"/>
          <w:tab w:val="left" w:pos="169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>прозрачные конкурсные процедуры при поиске и подборе кандидатов на вакантные</w:t>
      </w:r>
      <w:r w:rsidRPr="002264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>позиции;</w:t>
      </w:r>
    </w:p>
    <w:p w:rsidR="00A44A5E" w:rsidRPr="0022643D" w:rsidRDefault="00A44A5E" w:rsidP="00A44A5E">
      <w:pPr>
        <w:pStyle w:val="a6"/>
        <w:numPr>
          <w:ilvl w:val="0"/>
          <w:numId w:val="3"/>
        </w:numPr>
        <w:tabs>
          <w:tab w:val="left" w:pos="1134"/>
          <w:tab w:val="left" w:pos="169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>каскадирование корпоративных КПД сверху вниз и прозрачные процедуры оценки персонала, зачисления в кадровый резерв и продвижения резервистов на управленческие и руководящие</w:t>
      </w:r>
      <w:r w:rsidRPr="002264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>позиции;</w:t>
      </w:r>
    </w:p>
    <w:p w:rsidR="00A44A5E" w:rsidRPr="0022643D" w:rsidRDefault="00A44A5E" w:rsidP="00A44A5E">
      <w:pPr>
        <w:pStyle w:val="a6"/>
        <w:numPr>
          <w:ilvl w:val="0"/>
          <w:numId w:val="3"/>
        </w:numPr>
        <w:tabs>
          <w:tab w:val="left" w:pos="1134"/>
          <w:tab w:val="left" w:pos="169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>прозрачность системы оплаты труда и вознаграждения в зависимости от результатов деятельности, возможности обучения и профессионального развития;</w:t>
      </w:r>
    </w:p>
    <w:p w:rsidR="00A44A5E" w:rsidRPr="0022643D" w:rsidRDefault="00A44A5E" w:rsidP="00A44A5E">
      <w:pPr>
        <w:pStyle w:val="a6"/>
        <w:numPr>
          <w:ilvl w:val="0"/>
          <w:numId w:val="3"/>
        </w:numPr>
        <w:tabs>
          <w:tab w:val="left" w:pos="1134"/>
          <w:tab w:val="left" w:pos="169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sz w:val="28"/>
          <w:szCs w:val="28"/>
        </w:rPr>
        <w:t>регулирование социально-трудовых отношений с соблюдением требований трудового законодательства, охраны труда, техники безопасности и противопожарной</w:t>
      </w:r>
      <w:r w:rsidRPr="0022643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44A5E" w:rsidRPr="0022643D" w:rsidRDefault="00A44A5E" w:rsidP="00A44A5E">
      <w:pPr>
        <w:pStyle w:val="a6"/>
        <w:numPr>
          <w:ilvl w:val="0"/>
          <w:numId w:val="4"/>
        </w:numPr>
        <w:tabs>
          <w:tab w:val="left" w:pos="993"/>
          <w:tab w:val="left" w:pos="1698"/>
        </w:tabs>
        <w:spacing w:before="12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i/>
          <w:sz w:val="28"/>
          <w:szCs w:val="28"/>
        </w:rPr>
        <w:t xml:space="preserve">Интегрированность HR: </w:t>
      </w:r>
      <w:r w:rsidRPr="0022643D">
        <w:rPr>
          <w:rFonts w:ascii="Times New Roman" w:hAnsi="Times New Roman" w:cs="Times New Roman"/>
          <w:sz w:val="28"/>
          <w:szCs w:val="28"/>
        </w:rPr>
        <w:t>интеграция HR процессов обеспечивается через тесную взаимосвязь и взаимозависимость планирования трудовых ресурсов, поиска и подбора персонала, оценки, обучения и профессионального развития, системы вознаграждения и мотивации, социальной поддержки персонала, развития корпоративной культуры.</w:t>
      </w:r>
    </w:p>
    <w:p w:rsidR="00A44A5E" w:rsidRPr="0022643D" w:rsidRDefault="00A44A5E" w:rsidP="00A44A5E">
      <w:pPr>
        <w:pStyle w:val="a6"/>
        <w:numPr>
          <w:ilvl w:val="0"/>
          <w:numId w:val="4"/>
        </w:numPr>
        <w:tabs>
          <w:tab w:val="left" w:pos="993"/>
          <w:tab w:val="left" w:pos="1698"/>
        </w:tabs>
        <w:spacing w:before="12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3D">
        <w:rPr>
          <w:rFonts w:ascii="Times New Roman" w:hAnsi="Times New Roman" w:cs="Times New Roman"/>
          <w:i/>
          <w:sz w:val="28"/>
          <w:szCs w:val="28"/>
        </w:rPr>
        <w:t xml:space="preserve">Преемственность </w:t>
      </w:r>
      <w:r w:rsidRPr="0022643D">
        <w:rPr>
          <w:rFonts w:ascii="Times New Roman" w:hAnsi="Times New Roman" w:cs="Times New Roman"/>
          <w:sz w:val="28"/>
          <w:szCs w:val="28"/>
        </w:rPr>
        <w:t>будет достигаться через передачу, сохранение знаний и опыта, фокус на профессиональное развитие и обучение работников; развитие системы доступности накопленных знаний и опыта, поддержание знаний в актуальном состоянии и передача информации в случае ротации персонала и управления</w:t>
      </w:r>
      <w:r w:rsidRPr="002264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43D">
        <w:rPr>
          <w:rFonts w:ascii="Times New Roman" w:hAnsi="Times New Roman" w:cs="Times New Roman"/>
          <w:sz w:val="28"/>
          <w:szCs w:val="28"/>
        </w:rPr>
        <w:t>знаниями.</w:t>
      </w:r>
    </w:p>
    <w:p w:rsidR="00A44A5E" w:rsidRDefault="00A44A5E" w:rsidP="00A44A5E">
      <w:pPr>
        <w:jc w:val="both"/>
      </w:pPr>
    </w:p>
    <w:p w:rsidR="00A44A5E" w:rsidRPr="00A44A5E" w:rsidRDefault="00A44A5E" w:rsidP="00A44A5E">
      <w:pPr>
        <w:jc w:val="both"/>
        <w:rPr>
          <w:rFonts w:ascii="Times New Roman" w:hAnsi="Times New Roman" w:cs="Times New Roman"/>
          <w:sz w:val="28"/>
          <w:szCs w:val="28"/>
        </w:rPr>
      </w:pPr>
      <w:r w:rsidRPr="00A44A5E">
        <w:rPr>
          <w:rFonts w:ascii="Times New Roman" w:hAnsi="Times New Roman" w:cs="Times New Roman"/>
          <w:b/>
          <w:bCs/>
          <w:sz w:val="28"/>
          <w:szCs w:val="28"/>
        </w:rPr>
        <w:t>Целевые значения КПД Кадровой политики:</w:t>
      </w:r>
    </w:p>
    <w:p w:rsidR="00A44A5E" w:rsidRPr="00A44A5E" w:rsidRDefault="00A44A5E" w:rsidP="00A44A5E">
      <w:pPr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5E">
        <w:rPr>
          <w:rFonts w:ascii="Times New Roman" w:hAnsi="Times New Roman" w:cs="Times New Roman"/>
          <w:sz w:val="28"/>
          <w:szCs w:val="28"/>
        </w:rPr>
        <w:t>Степень вовлеченности персонала</w:t>
      </w:r>
    </w:p>
    <w:p w:rsidR="00A44A5E" w:rsidRPr="00A44A5E" w:rsidRDefault="00A44A5E" w:rsidP="00A44A5E">
      <w:pPr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5E">
        <w:rPr>
          <w:rFonts w:ascii="Times New Roman" w:hAnsi="Times New Roman" w:cs="Times New Roman"/>
          <w:sz w:val="28"/>
          <w:szCs w:val="28"/>
        </w:rPr>
        <w:t>Текучесть кадров</w:t>
      </w:r>
    </w:p>
    <w:p w:rsidR="00A44A5E" w:rsidRPr="00A44A5E" w:rsidRDefault="00A44A5E" w:rsidP="00A44A5E">
      <w:pPr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5E">
        <w:rPr>
          <w:rFonts w:ascii="Times New Roman" w:hAnsi="Times New Roman" w:cs="Times New Roman"/>
          <w:sz w:val="28"/>
          <w:szCs w:val="28"/>
        </w:rPr>
        <w:t>Процент назначений из кадрового резерва (пула преемников)</w:t>
      </w:r>
    </w:p>
    <w:p w:rsidR="00A44A5E" w:rsidRPr="00A44A5E" w:rsidRDefault="00A44A5E" w:rsidP="00A44A5E">
      <w:pPr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5E">
        <w:rPr>
          <w:rFonts w:ascii="Times New Roman" w:hAnsi="Times New Roman" w:cs="Times New Roman"/>
          <w:sz w:val="28"/>
          <w:szCs w:val="28"/>
        </w:rPr>
        <w:t>Процент работников, прошедших обучение по обязательной программе развития лидерства в течение года</w:t>
      </w:r>
    </w:p>
    <w:p w:rsidR="00A44A5E" w:rsidRPr="00A44A5E" w:rsidRDefault="00A44A5E" w:rsidP="00A44A5E">
      <w:pPr>
        <w:jc w:val="both"/>
        <w:rPr>
          <w:rFonts w:ascii="Times New Roman" w:hAnsi="Times New Roman" w:cs="Times New Roman"/>
          <w:sz w:val="28"/>
          <w:szCs w:val="28"/>
        </w:rPr>
      </w:pPr>
      <w:r w:rsidRPr="00A44A5E">
        <w:rPr>
          <w:rFonts w:ascii="Times New Roman" w:hAnsi="Times New Roman" w:cs="Times New Roman"/>
          <w:sz w:val="28"/>
          <w:szCs w:val="28"/>
        </w:rPr>
        <w:t xml:space="preserve">Штатная численность персонала АО «НГК «Тау-Кен </w:t>
      </w:r>
      <w:proofErr w:type="spellStart"/>
      <w:r w:rsidRPr="00A44A5E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A44A5E">
        <w:rPr>
          <w:rFonts w:ascii="Times New Roman" w:hAnsi="Times New Roman" w:cs="Times New Roman"/>
          <w:sz w:val="28"/>
          <w:szCs w:val="28"/>
        </w:rPr>
        <w:t>» составляет 75 человек.</w:t>
      </w:r>
    </w:p>
    <w:p w:rsidR="00A44A5E" w:rsidRPr="00A44A5E" w:rsidRDefault="00A44A5E" w:rsidP="00A44A5E"/>
    <w:p w:rsidR="00B338F5" w:rsidRDefault="00B338F5">
      <w:bookmarkStart w:id="0" w:name="_GoBack"/>
      <w:bookmarkEnd w:id="0"/>
    </w:p>
    <w:sectPr w:rsidR="00B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27E"/>
    <w:multiLevelType w:val="hybridMultilevel"/>
    <w:tmpl w:val="AB683FFA"/>
    <w:lvl w:ilvl="0" w:tplc="B7FE1194">
      <w:start w:val="1"/>
      <w:numFmt w:val="decimal"/>
      <w:lvlText w:val="%1."/>
      <w:lvlJc w:val="left"/>
      <w:pPr>
        <w:ind w:left="1583" w:hanging="732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5B6F090">
      <w:numFmt w:val="bullet"/>
      <w:lvlText w:val="•"/>
      <w:lvlJc w:val="left"/>
      <w:pPr>
        <w:ind w:left="1254" w:hanging="732"/>
      </w:pPr>
      <w:rPr>
        <w:rFonts w:hint="default"/>
        <w:lang w:val="ru-RU" w:eastAsia="ru-RU" w:bidi="ru-RU"/>
      </w:rPr>
    </w:lvl>
    <w:lvl w:ilvl="2" w:tplc="4468C160">
      <w:numFmt w:val="bullet"/>
      <w:lvlText w:val="•"/>
      <w:lvlJc w:val="left"/>
      <w:pPr>
        <w:ind w:left="2249" w:hanging="732"/>
      </w:pPr>
      <w:rPr>
        <w:rFonts w:hint="default"/>
        <w:lang w:val="ru-RU" w:eastAsia="ru-RU" w:bidi="ru-RU"/>
      </w:rPr>
    </w:lvl>
    <w:lvl w:ilvl="3" w:tplc="14F6A0E8">
      <w:numFmt w:val="bullet"/>
      <w:lvlText w:val="•"/>
      <w:lvlJc w:val="left"/>
      <w:pPr>
        <w:ind w:left="3243" w:hanging="732"/>
      </w:pPr>
      <w:rPr>
        <w:rFonts w:hint="default"/>
        <w:lang w:val="ru-RU" w:eastAsia="ru-RU" w:bidi="ru-RU"/>
      </w:rPr>
    </w:lvl>
    <w:lvl w:ilvl="4" w:tplc="8872029A">
      <w:numFmt w:val="bullet"/>
      <w:lvlText w:val="•"/>
      <w:lvlJc w:val="left"/>
      <w:pPr>
        <w:ind w:left="4238" w:hanging="732"/>
      </w:pPr>
      <w:rPr>
        <w:rFonts w:hint="default"/>
        <w:lang w:val="ru-RU" w:eastAsia="ru-RU" w:bidi="ru-RU"/>
      </w:rPr>
    </w:lvl>
    <w:lvl w:ilvl="5" w:tplc="48125078">
      <w:numFmt w:val="bullet"/>
      <w:lvlText w:val="•"/>
      <w:lvlJc w:val="left"/>
      <w:pPr>
        <w:ind w:left="5233" w:hanging="732"/>
      </w:pPr>
      <w:rPr>
        <w:rFonts w:hint="default"/>
        <w:lang w:val="ru-RU" w:eastAsia="ru-RU" w:bidi="ru-RU"/>
      </w:rPr>
    </w:lvl>
    <w:lvl w:ilvl="6" w:tplc="6CB6096A">
      <w:numFmt w:val="bullet"/>
      <w:lvlText w:val="•"/>
      <w:lvlJc w:val="left"/>
      <w:pPr>
        <w:ind w:left="6227" w:hanging="732"/>
      </w:pPr>
      <w:rPr>
        <w:rFonts w:hint="default"/>
        <w:lang w:val="ru-RU" w:eastAsia="ru-RU" w:bidi="ru-RU"/>
      </w:rPr>
    </w:lvl>
    <w:lvl w:ilvl="7" w:tplc="68A02ABC">
      <w:numFmt w:val="bullet"/>
      <w:lvlText w:val="•"/>
      <w:lvlJc w:val="left"/>
      <w:pPr>
        <w:ind w:left="7222" w:hanging="732"/>
      </w:pPr>
      <w:rPr>
        <w:rFonts w:hint="default"/>
        <w:lang w:val="ru-RU" w:eastAsia="ru-RU" w:bidi="ru-RU"/>
      </w:rPr>
    </w:lvl>
    <w:lvl w:ilvl="8" w:tplc="B39AADF4">
      <w:numFmt w:val="bullet"/>
      <w:lvlText w:val="•"/>
      <w:lvlJc w:val="left"/>
      <w:pPr>
        <w:ind w:left="8217" w:hanging="732"/>
      </w:pPr>
      <w:rPr>
        <w:rFonts w:hint="default"/>
        <w:lang w:val="ru-RU" w:eastAsia="ru-RU" w:bidi="ru-RU"/>
      </w:rPr>
    </w:lvl>
  </w:abstractNum>
  <w:abstractNum w:abstractNumId="1" w15:restartNumberingAfterBreak="0">
    <w:nsid w:val="2084324D"/>
    <w:multiLevelType w:val="multilevel"/>
    <w:tmpl w:val="E7A07AF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77AD3"/>
    <w:multiLevelType w:val="multilevel"/>
    <w:tmpl w:val="A0E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762CC"/>
    <w:multiLevelType w:val="hybridMultilevel"/>
    <w:tmpl w:val="009225E6"/>
    <w:lvl w:ilvl="0" w:tplc="4F1A1AB6">
      <w:start w:val="1"/>
      <w:numFmt w:val="decimal"/>
      <w:lvlText w:val="%1)"/>
      <w:lvlJc w:val="left"/>
      <w:pPr>
        <w:ind w:left="257" w:hanging="732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84CBDCC">
      <w:numFmt w:val="bullet"/>
      <w:lvlText w:val="•"/>
      <w:lvlJc w:val="left"/>
      <w:pPr>
        <w:ind w:left="1254" w:hanging="732"/>
      </w:pPr>
      <w:rPr>
        <w:rFonts w:hint="default"/>
        <w:lang w:val="ru-RU" w:eastAsia="ru-RU" w:bidi="ru-RU"/>
      </w:rPr>
    </w:lvl>
    <w:lvl w:ilvl="2" w:tplc="ECDC3C98">
      <w:numFmt w:val="bullet"/>
      <w:lvlText w:val="•"/>
      <w:lvlJc w:val="left"/>
      <w:pPr>
        <w:ind w:left="2249" w:hanging="732"/>
      </w:pPr>
      <w:rPr>
        <w:rFonts w:hint="default"/>
        <w:lang w:val="ru-RU" w:eastAsia="ru-RU" w:bidi="ru-RU"/>
      </w:rPr>
    </w:lvl>
    <w:lvl w:ilvl="3" w:tplc="EA1CD9FC">
      <w:numFmt w:val="bullet"/>
      <w:lvlText w:val="•"/>
      <w:lvlJc w:val="left"/>
      <w:pPr>
        <w:ind w:left="3243" w:hanging="732"/>
      </w:pPr>
      <w:rPr>
        <w:rFonts w:hint="default"/>
        <w:lang w:val="ru-RU" w:eastAsia="ru-RU" w:bidi="ru-RU"/>
      </w:rPr>
    </w:lvl>
    <w:lvl w:ilvl="4" w:tplc="49328408">
      <w:numFmt w:val="bullet"/>
      <w:lvlText w:val="•"/>
      <w:lvlJc w:val="left"/>
      <w:pPr>
        <w:ind w:left="4238" w:hanging="732"/>
      </w:pPr>
      <w:rPr>
        <w:rFonts w:hint="default"/>
        <w:lang w:val="ru-RU" w:eastAsia="ru-RU" w:bidi="ru-RU"/>
      </w:rPr>
    </w:lvl>
    <w:lvl w:ilvl="5" w:tplc="A7525DFA">
      <w:numFmt w:val="bullet"/>
      <w:lvlText w:val="•"/>
      <w:lvlJc w:val="left"/>
      <w:pPr>
        <w:ind w:left="5233" w:hanging="732"/>
      </w:pPr>
      <w:rPr>
        <w:rFonts w:hint="default"/>
        <w:lang w:val="ru-RU" w:eastAsia="ru-RU" w:bidi="ru-RU"/>
      </w:rPr>
    </w:lvl>
    <w:lvl w:ilvl="6" w:tplc="BC964886">
      <w:numFmt w:val="bullet"/>
      <w:lvlText w:val="•"/>
      <w:lvlJc w:val="left"/>
      <w:pPr>
        <w:ind w:left="6227" w:hanging="732"/>
      </w:pPr>
      <w:rPr>
        <w:rFonts w:hint="default"/>
        <w:lang w:val="ru-RU" w:eastAsia="ru-RU" w:bidi="ru-RU"/>
      </w:rPr>
    </w:lvl>
    <w:lvl w:ilvl="7" w:tplc="CB28743A">
      <w:numFmt w:val="bullet"/>
      <w:lvlText w:val="•"/>
      <w:lvlJc w:val="left"/>
      <w:pPr>
        <w:ind w:left="7222" w:hanging="732"/>
      </w:pPr>
      <w:rPr>
        <w:rFonts w:hint="default"/>
        <w:lang w:val="ru-RU" w:eastAsia="ru-RU" w:bidi="ru-RU"/>
      </w:rPr>
    </w:lvl>
    <w:lvl w:ilvl="8" w:tplc="4F249720">
      <w:numFmt w:val="bullet"/>
      <w:lvlText w:val="•"/>
      <w:lvlJc w:val="left"/>
      <w:pPr>
        <w:ind w:left="8217" w:hanging="73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0"/>
    <w:rsid w:val="00A44A5E"/>
    <w:rsid w:val="00AD4790"/>
    <w:rsid w:val="00B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6AC3-74C9-48A3-A118-2A466173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4A5E"/>
    <w:pPr>
      <w:widowControl w:val="0"/>
      <w:autoSpaceDE w:val="0"/>
      <w:autoSpaceDN w:val="0"/>
      <w:spacing w:after="0" w:line="240" w:lineRule="auto"/>
      <w:ind w:left="257"/>
      <w:outlineLvl w:val="0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5E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A44A5E"/>
    <w:pPr>
      <w:widowControl w:val="0"/>
      <w:autoSpaceDE w:val="0"/>
      <w:autoSpaceDN w:val="0"/>
      <w:spacing w:after="0" w:line="240" w:lineRule="auto"/>
      <w:ind w:left="257" w:firstLine="708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44A5E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44A5E"/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6">
    <w:name w:val="List Paragraph"/>
    <w:aliases w:val="маркированный,AC List 01,Bullet Points,без абзаца,ПАРАГРАФ,List Paragraph,Абзац,List Paragraph 1,1. Абзац списка,SL_Абзац списка"/>
    <w:basedOn w:val="a"/>
    <w:link w:val="a7"/>
    <w:uiPriority w:val="34"/>
    <w:qFormat/>
    <w:rsid w:val="00A44A5E"/>
    <w:pPr>
      <w:widowControl w:val="0"/>
      <w:autoSpaceDE w:val="0"/>
      <w:autoSpaceDN w:val="0"/>
      <w:spacing w:after="0" w:line="240" w:lineRule="auto"/>
      <w:ind w:left="257" w:firstLine="708"/>
      <w:jc w:val="both"/>
    </w:pPr>
    <w:rPr>
      <w:rFonts w:ascii="Arial" w:eastAsia="Arial" w:hAnsi="Arial" w:cs="Arial"/>
      <w:lang w:eastAsia="ru-RU" w:bidi="ru-RU"/>
    </w:rPr>
  </w:style>
  <w:style w:type="character" w:customStyle="1" w:styleId="a7">
    <w:name w:val="Абзац списка Знак"/>
    <w:aliases w:val="маркированный Знак,AC List 01 Знак,Bullet Points Знак,без абзаца Знак,ПАРАГРАФ Знак,List Paragraph Знак,Абзац Знак,List Paragraph 1 Знак,1. Абзац списка Знак,SL_Абзац списка Знак"/>
    <w:link w:val="a6"/>
    <w:uiPriority w:val="34"/>
    <w:rsid w:val="00A44A5E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994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7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Ишанкулова Айгуль Мендхановна</dc:creator>
  <cp:keywords/>
  <dc:description/>
  <cp:lastModifiedBy>Ишанкулова Айгуль Мендхановна</cp:lastModifiedBy>
  <cp:revision>2</cp:revision>
  <dcterms:created xsi:type="dcterms:W3CDTF">2021-06-28T08:50:00Z</dcterms:created>
  <dcterms:modified xsi:type="dcterms:W3CDTF">2021-06-28T09:00:00Z</dcterms:modified>
</cp:coreProperties>
</file>